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99C" w:rsidRDefault="000801E7">
      <w:pPr>
        <w:jc w:val="center"/>
        <w:rPr>
          <w:b/>
          <w:sz w:val="36"/>
        </w:rPr>
      </w:pPr>
      <w:r>
        <w:rPr>
          <w:rFonts w:hint="eastAsia"/>
          <w:b/>
          <w:sz w:val="36"/>
        </w:rPr>
        <w:t>《反应堆压力容器材料辐照脆化预测评估模型开发准则》编制说明</w:t>
      </w:r>
    </w:p>
    <w:p w:rsidR="0000699C" w:rsidRDefault="000801E7">
      <w:pPr>
        <w:jc w:val="center"/>
        <w:rPr>
          <w:b/>
          <w:sz w:val="36"/>
        </w:rPr>
      </w:pPr>
      <w:r>
        <w:rPr>
          <w:rFonts w:hint="eastAsia"/>
          <w:b/>
          <w:sz w:val="36"/>
        </w:rPr>
        <w:t>（征求意见稿）</w:t>
      </w:r>
    </w:p>
    <w:p w:rsidR="0000699C" w:rsidRDefault="000801E7">
      <w:pPr>
        <w:outlineLvl w:val="0"/>
        <w:rPr>
          <w:b/>
          <w:sz w:val="28"/>
          <w:szCs w:val="28"/>
        </w:rPr>
      </w:pPr>
      <w:r>
        <w:rPr>
          <w:rFonts w:hint="eastAsia"/>
          <w:b/>
          <w:sz w:val="28"/>
          <w:szCs w:val="28"/>
        </w:rPr>
        <w:t>一、工作简况</w:t>
      </w:r>
    </w:p>
    <w:p w:rsidR="0000699C" w:rsidRDefault="000801E7">
      <w:pPr>
        <w:rPr>
          <w:b/>
        </w:rPr>
      </w:pPr>
      <w:r>
        <w:rPr>
          <w:rFonts w:hint="eastAsia"/>
          <w:b/>
        </w:rPr>
        <w:t>1</w:t>
      </w:r>
      <w:r>
        <w:rPr>
          <w:rFonts w:hint="eastAsia"/>
          <w:b/>
        </w:rPr>
        <w:t>、任务来源</w:t>
      </w:r>
    </w:p>
    <w:p w:rsidR="0000699C" w:rsidRDefault="000801E7">
      <w:pPr>
        <w:ind w:firstLineChars="200" w:firstLine="480"/>
      </w:pPr>
      <w:r>
        <w:rPr>
          <w:rFonts w:hint="eastAsia"/>
        </w:rPr>
        <w:t>本标准的主要起草单位为：苏州热工研究院有限公司、生态环境部核与辐射安全中心、深圳中广核工程设计有限公司、上海核工厂研究设计院有限公司、大亚湾核电运营管理有限责任公司、中核核电运行管理有限公司、福建福清核电有限公司。</w:t>
      </w:r>
    </w:p>
    <w:p w:rsidR="0000699C" w:rsidRDefault="000801E7">
      <w:pPr>
        <w:ind w:firstLineChars="200" w:firstLine="480"/>
      </w:pPr>
      <w:r>
        <w:rPr>
          <w:rFonts w:hint="eastAsia"/>
        </w:rPr>
        <w:t>本标准编制的起始时间为：</w:t>
      </w:r>
      <w:r>
        <w:rPr>
          <w:rFonts w:hint="eastAsia"/>
        </w:rPr>
        <w:t>2022</w:t>
      </w:r>
      <w:r>
        <w:rPr>
          <w:rFonts w:hint="eastAsia"/>
        </w:rPr>
        <w:t>年</w:t>
      </w:r>
      <w:r>
        <w:rPr>
          <w:rFonts w:hint="eastAsia"/>
        </w:rPr>
        <w:t>1</w:t>
      </w:r>
      <w:r>
        <w:rPr>
          <w:rFonts w:hint="eastAsia"/>
        </w:rPr>
        <w:t>月</w:t>
      </w:r>
      <w:r>
        <w:rPr>
          <w:rFonts w:hint="eastAsia"/>
        </w:rPr>
        <w:t>1</w:t>
      </w:r>
      <w:r>
        <w:rPr>
          <w:rFonts w:hint="eastAsia"/>
        </w:rPr>
        <w:t>日至</w:t>
      </w:r>
      <w:r>
        <w:rPr>
          <w:rFonts w:hint="eastAsia"/>
        </w:rPr>
        <w:t>2022</w:t>
      </w:r>
      <w:r>
        <w:rPr>
          <w:rFonts w:hint="eastAsia"/>
        </w:rPr>
        <w:t>年</w:t>
      </w:r>
      <w:r>
        <w:rPr>
          <w:rFonts w:hint="eastAsia"/>
        </w:rPr>
        <w:t>12</w:t>
      </w:r>
      <w:r>
        <w:rPr>
          <w:rFonts w:hint="eastAsia"/>
        </w:rPr>
        <w:t>月</w:t>
      </w:r>
      <w:r>
        <w:rPr>
          <w:rFonts w:hint="eastAsia"/>
        </w:rPr>
        <w:t>31</w:t>
      </w:r>
      <w:r>
        <w:rPr>
          <w:rFonts w:hint="eastAsia"/>
        </w:rPr>
        <w:t>日。</w:t>
      </w:r>
    </w:p>
    <w:p w:rsidR="0000699C" w:rsidRDefault="000801E7">
      <w:pPr>
        <w:ind w:firstLineChars="200" w:firstLine="480"/>
      </w:pPr>
      <w:r>
        <w:rPr>
          <w:rFonts w:hint="eastAsia"/>
        </w:rPr>
        <w:t>本标准牵头单位正在与中国核能行业协会签订“中国核能行业协会团体标准制修订专项技术服务合同”。预计</w:t>
      </w:r>
      <w:r>
        <w:rPr>
          <w:rFonts w:hint="eastAsia"/>
        </w:rPr>
        <w:t>2022</w:t>
      </w:r>
      <w:r>
        <w:rPr>
          <w:rFonts w:hint="eastAsia"/>
        </w:rPr>
        <w:t>年</w:t>
      </w:r>
      <w:r>
        <w:rPr>
          <w:rFonts w:hint="eastAsia"/>
        </w:rPr>
        <w:t>8</w:t>
      </w:r>
      <w:r>
        <w:rPr>
          <w:rFonts w:hint="eastAsia"/>
        </w:rPr>
        <w:t>月签订合同。</w:t>
      </w:r>
    </w:p>
    <w:p w:rsidR="0000699C" w:rsidRDefault="0000699C"/>
    <w:p w:rsidR="0000699C" w:rsidRDefault="000801E7">
      <w:pPr>
        <w:rPr>
          <w:b/>
        </w:rPr>
      </w:pPr>
      <w:r>
        <w:rPr>
          <w:rFonts w:hint="eastAsia"/>
          <w:b/>
        </w:rPr>
        <w:t>2</w:t>
      </w:r>
      <w:r>
        <w:rPr>
          <w:rFonts w:hint="eastAsia"/>
          <w:b/>
        </w:rPr>
        <w:t>、主要工作过程</w:t>
      </w:r>
    </w:p>
    <w:p w:rsidR="0000699C" w:rsidRDefault="000801E7">
      <w:r>
        <w:rPr>
          <w:rFonts w:hint="eastAsia"/>
        </w:rPr>
        <w:t>起草阶段：</w:t>
      </w:r>
      <w:r>
        <w:rPr>
          <w:rFonts w:hint="eastAsia"/>
        </w:rPr>
        <w:t>2022</w:t>
      </w:r>
      <w:r>
        <w:rPr>
          <w:rFonts w:hint="eastAsia"/>
        </w:rPr>
        <w:t>年</w:t>
      </w:r>
      <w:r>
        <w:rPr>
          <w:rFonts w:hint="eastAsia"/>
        </w:rPr>
        <w:t>1</w:t>
      </w:r>
      <w:r>
        <w:rPr>
          <w:rFonts w:hint="eastAsia"/>
        </w:rPr>
        <w:t>月至</w:t>
      </w:r>
      <w:r w:rsidR="005E3CC9">
        <w:t>10</w:t>
      </w:r>
      <w:r>
        <w:rPr>
          <w:rFonts w:hint="eastAsia"/>
        </w:rPr>
        <w:t>月</w:t>
      </w:r>
    </w:p>
    <w:p w:rsidR="0000699C" w:rsidRDefault="000801E7">
      <w:r>
        <w:rPr>
          <w:rFonts w:hint="eastAsia"/>
        </w:rPr>
        <w:t>征求意见阶段：待定</w:t>
      </w:r>
    </w:p>
    <w:p w:rsidR="0000699C" w:rsidRDefault="0000699C"/>
    <w:p w:rsidR="0000699C" w:rsidRDefault="000801E7">
      <w:pPr>
        <w:rPr>
          <w:b/>
        </w:rPr>
      </w:pPr>
      <w:r>
        <w:rPr>
          <w:rFonts w:hint="eastAsia"/>
          <w:b/>
        </w:rPr>
        <w:t>3</w:t>
      </w:r>
      <w:r>
        <w:rPr>
          <w:rFonts w:hint="eastAsia"/>
          <w:b/>
        </w:rPr>
        <w:t>、</w:t>
      </w:r>
      <w:r>
        <w:rPr>
          <w:b/>
        </w:rPr>
        <w:t>主要参加单位和工作组成员及其所作的工作等</w:t>
      </w:r>
    </w:p>
    <w:tbl>
      <w:tblPr>
        <w:tblStyle w:val="a3"/>
        <w:tblW w:w="0" w:type="auto"/>
        <w:tblLook w:val="04A0" w:firstRow="1" w:lastRow="0" w:firstColumn="1" w:lastColumn="0" w:noHBand="0" w:noVBand="1"/>
      </w:tblPr>
      <w:tblGrid>
        <w:gridCol w:w="744"/>
        <w:gridCol w:w="2075"/>
        <w:gridCol w:w="3282"/>
        <w:gridCol w:w="2195"/>
      </w:tblGrid>
      <w:tr w:rsidR="0000699C">
        <w:trPr>
          <w:trHeight w:val="335"/>
        </w:trPr>
        <w:tc>
          <w:tcPr>
            <w:tcW w:w="754" w:type="dxa"/>
          </w:tcPr>
          <w:p w:rsidR="0000699C" w:rsidRDefault="000801E7">
            <w:pPr>
              <w:spacing w:line="240" w:lineRule="auto"/>
              <w:jc w:val="center"/>
              <w:rPr>
                <w:b/>
                <w:bCs/>
              </w:rPr>
            </w:pPr>
            <w:r>
              <w:rPr>
                <w:rFonts w:hint="eastAsia"/>
                <w:b/>
                <w:bCs/>
              </w:rPr>
              <w:t>序号</w:t>
            </w:r>
          </w:p>
        </w:tc>
        <w:tc>
          <w:tcPr>
            <w:tcW w:w="2136" w:type="dxa"/>
          </w:tcPr>
          <w:p w:rsidR="0000699C" w:rsidRDefault="000801E7">
            <w:pPr>
              <w:spacing w:line="240" w:lineRule="auto"/>
              <w:jc w:val="center"/>
              <w:rPr>
                <w:b/>
                <w:bCs/>
              </w:rPr>
            </w:pPr>
            <w:r>
              <w:rPr>
                <w:rFonts w:hint="eastAsia"/>
                <w:b/>
                <w:bCs/>
              </w:rPr>
              <w:t>主要参加单位</w:t>
            </w:r>
          </w:p>
        </w:tc>
        <w:tc>
          <w:tcPr>
            <w:tcW w:w="3379" w:type="dxa"/>
          </w:tcPr>
          <w:p w:rsidR="0000699C" w:rsidRDefault="000801E7">
            <w:pPr>
              <w:spacing w:line="240" w:lineRule="auto"/>
              <w:jc w:val="center"/>
              <w:rPr>
                <w:b/>
                <w:bCs/>
              </w:rPr>
            </w:pPr>
            <w:r>
              <w:rPr>
                <w:rFonts w:hint="eastAsia"/>
                <w:b/>
                <w:bCs/>
              </w:rPr>
              <w:t>工作组成员</w:t>
            </w:r>
          </w:p>
        </w:tc>
        <w:tc>
          <w:tcPr>
            <w:tcW w:w="2251" w:type="dxa"/>
          </w:tcPr>
          <w:p w:rsidR="0000699C" w:rsidRDefault="000801E7">
            <w:pPr>
              <w:spacing w:line="240" w:lineRule="auto"/>
              <w:jc w:val="center"/>
              <w:rPr>
                <w:b/>
                <w:bCs/>
              </w:rPr>
            </w:pPr>
            <w:r>
              <w:rPr>
                <w:rFonts w:hint="eastAsia"/>
                <w:b/>
                <w:bCs/>
              </w:rPr>
              <w:t>具体工作</w:t>
            </w:r>
          </w:p>
        </w:tc>
      </w:tr>
      <w:tr w:rsidR="0000699C">
        <w:trPr>
          <w:trHeight w:val="511"/>
        </w:trPr>
        <w:tc>
          <w:tcPr>
            <w:tcW w:w="754" w:type="dxa"/>
          </w:tcPr>
          <w:p w:rsidR="0000699C" w:rsidRDefault="000801E7">
            <w:pPr>
              <w:spacing w:line="240" w:lineRule="auto"/>
              <w:jc w:val="center"/>
            </w:pPr>
            <w:r>
              <w:rPr>
                <w:rFonts w:hint="eastAsia"/>
              </w:rPr>
              <w:t>1</w:t>
            </w:r>
          </w:p>
        </w:tc>
        <w:tc>
          <w:tcPr>
            <w:tcW w:w="2136" w:type="dxa"/>
          </w:tcPr>
          <w:p w:rsidR="0000699C" w:rsidRDefault="000801E7">
            <w:pPr>
              <w:spacing w:line="240" w:lineRule="auto"/>
            </w:pPr>
            <w:r>
              <w:rPr>
                <w:rFonts w:hint="eastAsia"/>
              </w:rPr>
              <w:t>苏州热工研究院有限公司</w:t>
            </w:r>
          </w:p>
        </w:tc>
        <w:tc>
          <w:tcPr>
            <w:tcW w:w="3379" w:type="dxa"/>
          </w:tcPr>
          <w:p w:rsidR="0000699C" w:rsidRDefault="000801E7">
            <w:pPr>
              <w:spacing w:line="240" w:lineRule="auto"/>
            </w:pPr>
            <w:r>
              <w:rPr>
                <w:rFonts w:hint="eastAsia"/>
              </w:rPr>
              <w:t>刘向兵、徐超亮、李远飞、钱王洁、贾文清</w:t>
            </w:r>
          </w:p>
        </w:tc>
        <w:tc>
          <w:tcPr>
            <w:tcW w:w="2251" w:type="dxa"/>
          </w:tcPr>
          <w:p w:rsidR="0000699C" w:rsidRDefault="000801E7">
            <w:pPr>
              <w:spacing w:line="240" w:lineRule="auto"/>
            </w:pPr>
            <w:r>
              <w:rPr>
                <w:rFonts w:hint="eastAsia"/>
              </w:rPr>
              <w:t>标准起草、</w:t>
            </w:r>
            <w:r>
              <w:rPr>
                <w:rFonts w:hint="eastAsia"/>
              </w:rPr>
              <w:t>示范案例</w:t>
            </w:r>
            <w:r>
              <w:rPr>
                <w:rFonts w:hint="eastAsia"/>
              </w:rPr>
              <w:t>开发</w:t>
            </w:r>
          </w:p>
        </w:tc>
      </w:tr>
      <w:tr w:rsidR="0000699C">
        <w:trPr>
          <w:trHeight w:val="511"/>
        </w:trPr>
        <w:tc>
          <w:tcPr>
            <w:tcW w:w="754" w:type="dxa"/>
          </w:tcPr>
          <w:p w:rsidR="0000699C" w:rsidRDefault="000801E7">
            <w:pPr>
              <w:spacing w:line="240" w:lineRule="auto"/>
              <w:jc w:val="center"/>
            </w:pPr>
            <w:r>
              <w:rPr>
                <w:rFonts w:hint="eastAsia"/>
              </w:rPr>
              <w:t>2</w:t>
            </w:r>
          </w:p>
        </w:tc>
        <w:tc>
          <w:tcPr>
            <w:tcW w:w="2136" w:type="dxa"/>
          </w:tcPr>
          <w:p w:rsidR="0000699C" w:rsidRDefault="000801E7">
            <w:pPr>
              <w:spacing w:line="240" w:lineRule="auto"/>
            </w:pPr>
            <w:r>
              <w:rPr>
                <w:rFonts w:hint="eastAsia"/>
              </w:rPr>
              <w:t>生态环境部核与辐射安全中心</w:t>
            </w:r>
          </w:p>
        </w:tc>
        <w:tc>
          <w:tcPr>
            <w:tcW w:w="3379" w:type="dxa"/>
          </w:tcPr>
          <w:p w:rsidR="0000699C" w:rsidRDefault="000801E7">
            <w:pPr>
              <w:spacing w:line="240" w:lineRule="auto"/>
            </w:pPr>
            <w:r>
              <w:rPr>
                <w:rFonts w:hint="eastAsia"/>
              </w:rPr>
              <w:t>孙海涛</w:t>
            </w:r>
          </w:p>
        </w:tc>
        <w:tc>
          <w:tcPr>
            <w:tcW w:w="2251" w:type="dxa"/>
          </w:tcPr>
          <w:p w:rsidR="0000699C" w:rsidRDefault="000801E7">
            <w:pPr>
              <w:spacing w:line="240" w:lineRule="auto"/>
            </w:pPr>
            <w:r>
              <w:rPr>
                <w:rFonts w:hint="eastAsia"/>
              </w:rPr>
              <w:t>标准起草</w:t>
            </w:r>
          </w:p>
        </w:tc>
      </w:tr>
      <w:tr w:rsidR="0000699C">
        <w:trPr>
          <w:trHeight w:val="522"/>
        </w:trPr>
        <w:tc>
          <w:tcPr>
            <w:tcW w:w="754" w:type="dxa"/>
          </w:tcPr>
          <w:p w:rsidR="0000699C" w:rsidRDefault="000801E7">
            <w:pPr>
              <w:spacing w:line="240" w:lineRule="auto"/>
              <w:jc w:val="center"/>
            </w:pPr>
            <w:r>
              <w:rPr>
                <w:rFonts w:hint="eastAsia"/>
              </w:rPr>
              <w:t>3</w:t>
            </w:r>
          </w:p>
        </w:tc>
        <w:tc>
          <w:tcPr>
            <w:tcW w:w="2136" w:type="dxa"/>
          </w:tcPr>
          <w:p w:rsidR="0000699C" w:rsidRDefault="000801E7">
            <w:pPr>
              <w:spacing w:line="240" w:lineRule="auto"/>
            </w:pPr>
            <w:r>
              <w:rPr>
                <w:rFonts w:hint="eastAsia"/>
              </w:rPr>
              <w:t>深圳中广核工程设计有限公司</w:t>
            </w:r>
          </w:p>
        </w:tc>
        <w:tc>
          <w:tcPr>
            <w:tcW w:w="3379" w:type="dxa"/>
          </w:tcPr>
          <w:p w:rsidR="0000699C" w:rsidRDefault="000801E7">
            <w:pPr>
              <w:spacing w:line="240" w:lineRule="auto"/>
            </w:pPr>
            <w:r>
              <w:rPr>
                <w:rFonts w:hint="eastAsia"/>
              </w:rPr>
              <w:t>段远刚</w:t>
            </w:r>
          </w:p>
        </w:tc>
        <w:tc>
          <w:tcPr>
            <w:tcW w:w="2251" w:type="dxa"/>
          </w:tcPr>
          <w:p w:rsidR="0000699C" w:rsidRDefault="000801E7">
            <w:pPr>
              <w:spacing w:line="240" w:lineRule="auto"/>
            </w:pPr>
            <w:r>
              <w:rPr>
                <w:rFonts w:hint="eastAsia"/>
              </w:rPr>
              <w:t>标准起草</w:t>
            </w:r>
          </w:p>
        </w:tc>
      </w:tr>
      <w:tr w:rsidR="0000699C">
        <w:trPr>
          <w:trHeight w:val="522"/>
        </w:trPr>
        <w:tc>
          <w:tcPr>
            <w:tcW w:w="754" w:type="dxa"/>
          </w:tcPr>
          <w:p w:rsidR="0000699C" w:rsidRDefault="000801E7">
            <w:pPr>
              <w:spacing w:line="240" w:lineRule="auto"/>
              <w:jc w:val="center"/>
            </w:pPr>
            <w:r>
              <w:rPr>
                <w:rFonts w:hint="eastAsia"/>
              </w:rPr>
              <w:t>4</w:t>
            </w:r>
          </w:p>
        </w:tc>
        <w:tc>
          <w:tcPr>
            <w:tcW w:w="2136" w:type="dxa"/>
          </w:tcPr>
          <w:p w:rsidR="0000699C" w:rsidRDefault="000801E7">
            <w:pPr>
              <w:spacing w:line="240" w:lineRule="auto"/>
            </w:pPr>
            <w:r>
              <w:rPr>
                <w:rFonts w:hint="eastAsia"/>
              </w:rPr>
              <w:t>上海核工厂研究设计院有限公司</w:t>
            </w:r>
          </w:p>
        </w:tc>
        <w:tc>
          <w:tcPr>
            <w:tcW w:w="3379" w:type="dxa"/>
          </w:tcPr>
          <w:p w:rsidR="0000699C" w:rsidRDefault="000801E7">
            <w:pPr>
              <w:spacing w:line="240" w:lineRule="auto"/>
            </w:pPr>
            <w:r>
              <w:rPr>
                <w:rFonts w:hint="eastAsia"/>
              </w:rPr>
              <w:t>王秉熙</w:t>
            </w:r>
          </w:p>
        </w:tc>
        <w:tc>
          <w:tcPr>
            <w:tcW w:w="2251" w:type="dxa"/>
          </w:tcPr>
          <w:p w:rsidR="0000699C" w:rsidRDefault="000801E7">
            <w:pPr>
              <w:spacing w:line="240" w:lineRule="auto"/>
            </w:pPr>
            <w:r>
              <w:rPr>
                <w:rFonts w:hint="eastAsia"/>
              </w:rPr>
              <w:t>标准起草</w:t>
            </w:r>
          </w:p>
        </w:tc>
      </w:tr>
      <w:tr w:rsidR="0000699C">
        <w:trPr>
          <w:trHeight w:val="522"/>
        </w:trPr>
        <w:tc>
          <w:tcPr>
            <w:tcW w:w="754" w:type="dxa"/>
          </w:tcPr>
          <w:p w:rsidR="0000699C" w:rsidRDefault="000801E7">
            <w:pPr>
              <w:spacing w:line="240" w:lineRule="auto"/>
              <w:jc w:val="center"/>
            </w:pPr>
            <w:r>
              <w:rPr>
                <w:rFonts w:hint="eastAsia"/>
              </w:rPr>
              <w:t>5</w:t>
            </w:r>
          </w:p>
        </w:tc>
        <w:tc>
          <w:tcPr>
            <w:tcW w:w="2136" w:type="dxa"/>
          </w:tcPr>
          <w:p w:rsidR="0000699C" w:rsidRDefault="000801E7">
            <w:pPr>
              <w:spacing w:line="240" w:lineRule="auto"/>
            </w:pPr>
            <w:r>
              <w:rPr>
                <w:rFonts w:hint="eastAsia"/>
              </w:rPr>
              <w:t>大亚湾核电运营管理有限责任公司</w:t>
            </w:r>
          </w:p>
        </w:tc>
        <w:tc>
          <w:tcPr>
            <w:tcW w:w="3379" w:type="dxa"/>
          </w:tcPr>
          <w:p w:rsidR="0000699C" w:rsidRDefault="000801E7">
            <w:pPr>
              <w:spacing w:line="240" w:lineRule="auto"/>
            </w:pPr>
            <w:r>
              <w:rPr>
                <w:rFonts w:hint="eastAsia"/>
              </w:rPr>
              <w:t>安英辉</w:t>
            </w:r>
          </w:p>
        </w:tc>
        <w:tc>
          <w:tcPr>
            <w:tcW w:w="2251" w:type="dxa"/>
          </w:tcPr>
          <w:p w:rsidR="0000699C" w:rsidRDefault="000801E7">
            <w:pPr>
              <w:spacing w:line="240" w:lineRule="auto"/>
            </w:pPr>
            <w:r>
              <w:rPr>
                <w:rFonts w:hint="eastAsia"/>
              </w:rPr>
              <w:t>示范案例</w:t>
            </w:r>
            <w:r>
              <w:rPr>
                <w:rFonts w:hint="eastAsia"/>
              </w:rPr>
              <w:t>开发</w:t>
            </w:r>
          </w:p>
        </w:tc>
      </w:tr>
      <w:tr w:rsidR="0000699C">
        <w:trPr>
          <w:trHeight w:val="522"/>
        </w:trPr>
        <w:tc>
          <w:tcPr>
            <w:tcW w:w="754" w:type="dxa"/>
          </w:tcPr>
          <w:p w:rsidR="0000699C" w:rsidRDefault="000801E7">
            <w:pPr>
              <w:spacing w:line="240" w:lineRule="auto"/>
              <w:jc w:val="center"/>
            </w:pPr>
            <w:r>
              <w:rPr>
                <w:rFonts w:hint="eastAsia"/>
              </w:rPr>
              <w:t>6</w:t>
            </w:r>
          </w:p>
        </w:tc>
        <w:tc>
          <w:tcPr>
            <w:tcW w:w="2136" w:type="dxa"/>
          </w:tcPr>
          <w:p w:rsidR="0000699C" w:rsidRDefault="000801E7">
            <w:pPr>
              <w:spacing w:line="240" w:lineRule="auto"/>
            </w:pPr>
            <w:r>
              <w:rPr>
                <w:rFonts w:hint="eastAsia"/>
              </w:rPr>
              <w:t>中核核电运行管理有限公司</w:t>
            </w:r>
          </w:p>
        </w:tc>
        <w:tc>
          <w:tcPr>
            <w:tcW w:w="3379" w:type="dxa"/>
          </w:tcPr>
          <w:p w:rsidR="0000699C" w:rsidRDefault="000801E7">
            <w:pPr>
              <w:spacing w:line="240" w:lineRule="auto"/>
            </w:pPr>
            <w:r>
              <w:rPr>
                <w:rFonts w:hint="eastAsia"/>
              </w:rPr>
              <w:t>栾兴峰</w:t>
            </w:r>
          </w:p>
        </w:tc>
        <w:tc>
          <w:tcPr>
            <w:tcW w:w="2251" w:type="dxa"/>
          </w:tcPr>
          <w:p w:rsidR="0000699C" w:rsidRDefault="000801E7">
            <w:pPr>
              <w:spacing w:line="240" w:lineRule="auto"/>
            </w:pPr>
            <w:r>
              <w:rPr>
                <w:rFonts w:hint="eastAsia"/>
              </w:rPr>
              <w:t>示范案例</w:t>
            </w:r>
            <w:r>
              <w:rPr>
                <w:rFonts w:hint="eastAsia"/>
              </w:rPr>
              <w:t>开发</w:t>
            </w:r>
          </w:p>
        </w:tc>
      </w:tr>
      <w:tr w:rsidR="0000699C">
        <w:trPr>
          <w:trHeight w:val="522"/>
        </w:trPr>
        <w:tc>
          <w:tcPr>
            <w:tcW w:w="754" w:type="dxa"/>
          </w:tcPr>
          <w:p w:rsidR="0000699C" w:rsidRDefault="000801E7">
            <w:pPr>
              <w:spacing w:line="240" w:lineRule="auto"/>
              <w:jc w:val="center"/>
            </w:pPr>
            <w:r>
              <w:rPr>
                <w:rFonts w:hint="eastAsia"/>
              </w:rPr>
              <w:lastRenderedPageBreak/>
              <w:t>7</w:t>
            </w:r>
          </w:p>
        </w:tc>
        <w:tc>
          <w:tcPr>
            <w:tcW w:w="2136" w:type="dxa"/>
          </w:tcPr>
          <w:p w:rsidR="0000699C" w:rsidRDefault="000801E7">
            <w:pPr>
              <w:spacing w:line="240" w:lineRule="auto"/>
            </w:pPr>
            <w:r>
              <w:rPr>
                <w:rFonts w:hint="eastAsia"/>
              </w:rPr>
              <w:t>福建福清核电有限公司</w:t>
            </w:r>
          </w:p>
        </w:tc>
        <w:tc>
          <w:tcPr>
            <w:tcW w:w="3379" w:type="dxa"/>
          </w:tcPr>
          <w:p w:rsidR="0000699C" w:rsidRDefault="000801E7">
            <w:pPr>
              <w:spacing w:line="240" w:lineRule="auto"/>
            </w:pPr>
            <w:r>
              <w:rPr>
                <w:rFonts w:hint="eastAsia"/>
              </w:rPr>
              <w:t>李振</w:t>
            </w:r>
          </w:p>
        </w:tc>
        <w:tc>
          <w:tcPr>
            <w:tcW w:w="2251" w:type="dxa"/>
          </w:tcPr>
          <w:p w:rsidR="0000699C" w:rsidRDefault="000801E7">
            <w:pPr>
              <w:spacing w:line="240" w:lineRule="auto"/>
            </w:pPr>
            <w:r>
              <w:rPr>
                <w:rFonts w:hint="eastAsia"/>
              </w:rPr>
              <w:t>示范案例</w:t>
            </w:r>
            <w:r>
              <w:rPr>
                <w:rFonts w:hint="eastAsia"/>
              </w:rPr>
              <w:t>开发</w:t>
            </w:r>
          </w:p>
        </w:tc>
      </w:tr>
    </w:tbl>
    <w:p w:rsidR="0000699C" w:rsidRDefault="0000699C"/>
    <w:p w:rsidR="0000699C" w:rsidRDefault="0000699C"/>
    <w:p w:rsidR="0000699C" w:rsidRDefault="000801E7">
      <w:pPr>
        <w:outlineLvl w:val="0"/>
        <w:rPr>
          <w:b/>
          <w:sz w:val="28"/>
          <w:szCs w:val="28"/>
        </w:rPr>
      </w:pPr>
      <w:r>
        <w:rPr>
          <w:rFonts w:hint="eastAsia"/>
          <w:b/>
          <w:sz w:val="28"/>
          <w:szCs w:val="28"/>
        </w:rPr>
        <w:t>二、标准编制原则和主要内容</w:t>
      </w:r>
    </w:p>
    <w:p w:rsidR="0000699C" w:rsidRDefault="000801E7">
      <w:pPr>
        <w:rPr>
          <w:b/>
        </w:rPr>
      </w:pPr>
      <w:r>
        <w:rPr>
          <w:rFonts w:hint="eastAsia"/>
          <w:b/>
        </w:rPr>
        <w:t>1</w:t>
      </w:r>
      <w:r>
        <w:rPr>
          <w:rFonts w:hint="eastAsia"/>
          <w:b/>
        </w:rPr>
        <w:t>、标准编制原则</w:t>
      </w:r>
    </w:p>
    <w:p w:rsidR="0000699C" w:rsidRDefault="000801E7">
      <w:pPr>
        <w:ind w:firstLineChars="200" w:firstLine="480"/>
        <w:rPr>
          <w:iCs/>
        </w:rPr>
      </w:pPr>
      <w:r>
        <w:rPr>
          <w:rFonts w:hint="eastAsia"/>
          <w:iCs/>
        </w:rPr>
        <w:t>本标准</w:t>
      </w:r>
      <w:r>
        <w:rPr>
          <w:rFonts w:hint="eastAsia"/>
          <w:iCs/>
        </w:rPr>
        <w:t>开发</w:t>
      </w:r>
      <w:r>
        <w:rPr>
          <w:rFonts w:hint="eastAsia"/>
          <w:iCs/>
        </w:rPr>
        <w:t>符合</w:t>
      </w:r>
      <w:r>
        <w:rPr>
          <w:rFonts w:hint="eastAsia"/>
          <w:iCs/>
        </w:rPr>
        <w:t>实际需求，以</w:t>
      </w:r>
      <w:r>
        <w:rPr>
          <w:rFonts w:hint="eastAsia"/>
          <w:iCs/>
        </w:rPr>
        <w:t>科学性、</w:t>
      </w:r>
      <w:r>
        <w:rPr>
          <w:rFonts w:hint="eastAsia"/>
          <w:iCs/>
        </w:rPr>
        <w:t>实用性为</w:t>
      </w:r>
      <w:r>
        <w:rPr>
          <w:rFonts w:hint="eastAsia"/>
          <w:iCs/>
        </w:rPr>
        <w:t>原则进行本标准的制定工作。</w:t>
      </w:r>
    </w:p>
    <w:p w:rsidR="0000699C" w:rsidRDefault="000801E7">
      <w:pPr>
        <w:widowControl w:val="0"/>
        <w:jc w:val="both"/>
      </w:pPr>
      <w:r>
        <w:rPr>
          <w:rFonts w:hint="eastAsia"/>
        </w:rPr>
        <w:t>（</w:t>
      </w:r>
      <w:r>
        <w:rPr>
          <w:rFonts w:hint="eastAsia"/>
        </w:rPr>
        <w:t>1</w:t>
      </w:r>
      <w:r>
        <w:rPr>
          <w:rFonts w:hint="eastAsia"/>
        </w:rPr>
        <w:t>）科学性</w:t>
      </w:r>
    </w:p>
    <w:p w:rsidR="0000699C" w:rsidRDefault="000801E7">
      <w:pPr>
        <w:widowControl w:val="0"/>
        <w:ind w:firstLineChars="200" w:firstLine="480"/>
        <w:jc w:val="both"/>
      </w:pPr>
      <w:r>
        <w:rPr>
          <w:rFonts w:hint="eastAsia"/>
        </w:rPr>
        <w:t>本标准</w:t>
      </w:r>
      <w:r w:rsidR="005E3CC9">
        <w:rPr>
          <w:rFonts w:hint="eastAsia"/>
        </w:rPr>
        <w:t>建立了</w:t>
      </w:r>
      <w:r>
        <w:rPr>
          <w:rFonts w:ascii="Times New Roman"/>
        </w:rPr>
        <w:t>反应堆压力容器</w:t>
      </w:r>
      <w:r>
        <w:rPr>
          <w:rFonts w:ascii="Times New Roman" w:hint="eastAsia"/>
        </w:rPr>
        <w:t>（</w:t>
      </w:r>
      <w:r>
        <w:rPr>
          <w:rFonts w:hint="eastAsia"/>
        </w:rPr>
        <w:t>RPV</w:t>
      </w:r>
      <w:r>
        <w:rPr>
          <w:rFonts w:ascii="Times New Roman" w:hint="eastAsia"/>
        </w:rPr>
        <w:t>）</w:t>
      </w:r>
      <w:r>
        <w:rPr>
          <w:rFonts w:hint="eastAsia"/>
        </w:rPr>
        <w:t>材料辐照脆化预测评估模型开发准则</w:t>
      </w:r>
      <w:r w:rsidR="005E3CC9">
        <w:rPr>
          <w:rFonts w:hint="eastAsia"/>
        </w:rPr>
        <w:t>，并</w:t>
      </w:r>
      <w:r>
        <w:rPr>
          <w:rFonts w:hint="eastAsia"/>
        </w:rPr>
        <w:t>进行了开发验证</w:t>
      </w:r>
      <w:r>
        <w:rPr>
          <w:rFonts w:hint="eastAsia"/>
        </w:rPr>
        <w:t>。</w:t>
      </w:r>
    </w:p>
    <w:p w:rsidR="0000699C" w:rsidRDefault="000801E7">
      <w:pPr>
        <w:widowControl w:val="0"/>
        <w:jc w:val="both"/>
      </w:pPr>
      <w:r>
        <w:rPr>
          <w:rFonts w:hint="eastAsia"/>
        </w:rPr>
        <w:t>（</w:t>
      </w:r>
      <w:r>
        <w:rPr>
          <w:rFonts w:hint="eastAsia"/>
        </w:rPr>
        <w:t>2</w:t>
      </w:r>
      <w:r>
        <w:rPr>
          <w:rFonts w:hint="eastAsia"/>
        </w:rPr>
        <w:t>）实用性</w:t>
      </w:r>
    </w:p>
    <w:p w:rsidR="0000699C" w:rsidRDefault="000801E7">
      <w:pPr>
        <w:ind w:firstLineChars="200" w:firstLine="480"/>
      </w:pPr>
      <w:r>
        <w:rPr>
          <w:rFonts w:hint="eastAsia"/>
        </w:rPr>
        <w:t>本标准规定了</w:t>
      </w:r>
      <w:r>
        <w:rPr>
          <w:rFonts w:hint="eastAsia"/>
        </w:rPr>
        <w:t>RPV</w:t>
      </w:r>
      <w:r>
        <w:rPr>
          <w:rFonts w:hint="eastAsia"/>
        </w:rPr>
        <w:t>材料辐照脆化预测评估模型开发过程，包括</w:t>
      </w:r>
      <w:r>
        <w:rPr>
          <w:rFonts w:hint="eastAsia"/>
        </w:rPr>
        <w:t>RPV</w:t>
      </w:r>
      <w:r>
        <w:rPr>
          <w:rFonts w:hint="eastAsia"/>
        </w:rPr>
        <w:t>辐照脆化机制、辐照脆化数据、预测评估模型开发、模型准确性评估、模型可靠性评估、模型适用范围，以减少模型开发与评价的主观性、随意性，增加科学性、客观性和溯源性，从而达到提高所开发模型可靠性与准确性水平的目的。</w:t>
      </w:r>
    </w:p>
    <w:p w:rsidR="0000699C" w:rsidRDefault="000801E7">
      <w:pPr>
        <w:rPr>
          <w:b/>
        </w:rPr>
      </w:pPr>
      <w:r>
        <w:rPr>
          <w:rFonts w:hint="eastAsia"/>
          <w:b/>
        </w:rPr>
        <w:t>2</w:t>
      </w:r>
      <w:r>
        <w:rPr>
          <w:rFonts w:hint="eastAsia"/>
          <w:b/>
        </w:rPr>
        <w:t>、标准主要内容的依据</w:t>
      </w:r>
    </w:p>
    <w:p w:rsidR="0000699C" w:rsidRDefault="000801E7">
      <w:pPr>
        <w:ind w:firstLineChars="200" w:firstLine="480"/>
      </w:pPr>
      <w:r>
        <w:rPr>
          <w:rFonts w:hint="eastAsia"/>
        </w:rPr>
        <w:t>本标准聚焦于</w:t>
      </w:r>
      <w:r>
        <w:rPr>
          <w:rFonts w:hint="eastAsia"/>
        </w:rPr>
        <w:t>RPV</w:t>
      </w:r>
      <w:r>
        <w:rPr>
          <w:rFonts w:hint="eastAsia"/>
        </w:rPr>
        <w:t>材料辐照脆化预测评估模型开发的基本环节，并根据模型开发主要环节确定标准主体内容。本标准主体章节技术和内容根据辐照脆化预测评估模型开发的主要过程确定，包括辐照脆化机制、辐照脆化数据、预测评估模型开发、</w:t>
      </w:r>
      <w:r>
        <w:t>模</w:t>
      </w:r>
      <w:r>
        <w:t>型准确性评估</w:t>
      </w:r>
      <w:r>
        <w:rPr>
          <w:rFonts w:hint="eastAsia"/>
        </w:rPr>
        <w:t>、</w:t>
      </w:r>
      <w:r>
        <w:t>模型可靠性评估</w:t>
      </w:r>
      <w:r>
        <w:rPr>
          <w:rFonts w:hint="eastAsia"/>
        </w:rPr>
        <w:t>、</w:t>
      </w:r>
      <w:r>
        <w:t>模型适用范围</w:t>
      </w:r>
      <w:r>
        <w:rPr>
          <w:rFonts w:hint="eastAsia"/>
        </w:rPr>
        <w:t>。</w:t>
      </w:r>
    </w:p>
    <w:p w:rsidR="0000699C" w:rsidRDefault="0000699C"/>
    <w:p w:rsidR="0000699C" w:rsidRDefault="000801E7">
      <w:pPr>
        <w:rPr>
          <w:b/>
        </w:rPr>
      </w:pPr>
      <w:r>
        <w:rPr>
          <w:rFonts w:hint="eastAsia"/>
          <w:b/>
        </w:rPr>
        <w:t>3</w:t>
      </w:r>
      <w:r>
        <w:rPr>
          <w:rFonts w:hint="eastAsia"/>
          <w:b/>
        </w:rPr>
        <w:t>、解决的主要问题</w:t>
      </w:r>
    </w:p>
    <w:p w:rsidR="0000699C" w:rsidRDefault="000801E7">
      <w:pPr>
        <w:autoSpaceDE w:val="0"/>
        <w:autoSpaceDN w:val="0"/>
        <w:adjustRightInd w:val="0"/>
        <w:spacing w:line="440" w:lineRule="atLeast"/>
        <w:ind w:firstLine="480"/>
        <w:rPr>
          <w:rFonts w:cs="宋体"/>
          <w:kern w:val="0"/>
          <w:lang w:val="zh-CN"/>
        </w:rPr>
      </w:pPr>
      <w:r>
        <w:rPr>
          <w:rFonts w:ascii="Times New Roman" w:hAnsi="Times New Roman" w:cs="Times New Roman"/>
          <w:lang w:bidi="ar"/>
        </w:rPr>
        <w:t>RPV</w:t>
      </w:r>
      <w:r>
        <w:rPr>
          <w:rFonts w:ascii="Times New Roman" w:hAnsi="Times New Roman" w:cs="Times New Roman" w:hint="eastAsia"/>
          <w:lang w:bidi="ar"/>
        </w:rPr>
        <w:t>在服役期间</w:t>
      </w:r>
      <w:r>
        <w:rPr>
          <w:rFonts w:ascii="Times New Roman" w:hAnsi="Times New Roman" w:cs="Times New Roman" w:hint="eastAsia"/>
          <w:lang w:bidi="ar"/>
        </w:rPr>
        <w:t>经</w:t>
      </w:r>
      <w:r>
        <w:rPr>
          <w:rFonts w:ascii="Times New Roman" w:hAnsi="Times New Roman" w:cs="Times New Roman" w:hint="eastAsia"/>
          <w:lang w:bidi="ar"/>
        </w:rPr>
        <w:t>快中子（</w:t>
      </w:r>
      <w:r>
        <w:rPr>
          <w:rFonts w:ascii="Times New Roman" w:hAnsi="Times New Roman" w:cs="Times New Roman"/>
          <w:lang w:bidi="ar"/>
        </w:rPr>
        <w:t>E</w:t>
      </w:r>
      <w:r>
        <w:rPr>
          <w:rFonts w:ascii="Times New Roman" w:hAnsi="Times New Roman" w:cs="Times New Roman" w:hint="eastAsia"/>
          <w:lang w:bidi="ar"/>
        </w:rPr>
        <w:t>≥</w:t>
      </w:r>
      <w:r>
        <w:rPr>
          <w:rFonts w:ascii="Times New Roman" w:hAnsi="Times New Roman" w:cs="Times New Roman"/>
          <w:lang w:bidi="ar"/>
        </w:rPr>
        <w:t>1MeV</w:t>
      </w:r>
      <w:r>
        <w:rPr>
          <w:rFonts w:ascii="Times New Roman" w:hAnsi="Times New Roman" w:cs="Times New Roman" w:hint="eastAsia"/>
          <w:lang w:bidi="ar"/>
        </w:rPr>
        <w:t>）辐照</w:t>
      </w:r>
      <w:r>
        <w:rPr>
          <w:rFonts w:ascii="Times New Roman" w:hAnsi="Times New Roman" w:cs="Times New Roman" w:hint="eastAsia"/>
          <w:lang w:bidi="ar"/>
        </w:rPr>
        <w:t>后将出现辐照脆化效应</w:t>
      </w:r>
      <w:r>
        <w:rPr>
          <w:rFonts w:ascii="Times New Roman" w:hAnsi="Times New Roman" w:cs="Times New Roman" w:hint="eastAsia"/>
          <w:lang w:bidi="ar"/>
        </w:rPr>
        <w:t>，</w:t>
      </w:r>
      <w:r>
        <w:rPr>
          <w:rFonts w:ascii="Times New Roman" w:hAnsi="Times New Roman" w:cs="Times New Roman" w:hint="eastAsia"/>
          <w:lang w:bidi="ar"/>
        </w:rPr>
        <w:t>RPV</w:t>
      </w:r>
      <w:r>
        <w:rPr>
          <w:rFonts w:ascii="Times New Roman" w:hAnsi="Times New Roman" w:cs="Times New Roman" w:hint="eastAsia"/>
          <w:lang w:bidi="ar"/>
        </w:rPr>
        <w:t>的辐照脆化</w:t>
      </w:r>
      <w:r>
        <w:rPr>
          <w:rFonts w:ascii="Times New Roman" w:hAnsi="Times New Roman" w:cs="Times New Roman" w:hint="eastAsia"/>
          <w:lang w:bidi="ar"/>
        </w:rPr>
        <w:t>直接威胁核电</w:t>
      </w:r>
      <w:r>
        <w:rPr>
          <w:rFonts w:ascii="Times New Roman" w:hAnsi="Times New Roman" w:cs="Times New Roman" w:hint="eastAsia"/>
          <w:lang w:bidi="ar"/>
        </w:rPr>
        <w:t>厂安全运营。为评估</w:t>
      </w:r>
      <w:r>
        <w:rPr>
          <w:rFonts w:ascii="Times New Roman" w:hAnsi="Times New Roman" w:cs="Times New Roman" w:hint="eastAsia"/>
          <w:lang w:bidi="ar"/>
        </w:rPr>
        <w:t>RPV</w:t>
      </w:r>
      <w:r>
        <w:rPr>
          <w:rFonts w:ascii="Times New Roman" w:hAnsi="Times New Roman" w:cs="Times New Roman" w:hint="eastAsia"/>
          <w:lang w:bidi="ar"/>
        </w:rPr>
        <w:t>的辐照脆化，需基于辐照脆化预测模型评估</w:t>
      </w:r>
      <w:r>
        <w:rPr>
          <w:rFonts w:ascii="Times New Roman" w:hAnsi="Times New Roman" w:cs="Times New Roman" w:hint="eastAsia"/>
          <w:lang w:bidi="ar"/>
        </w:rPr>
        <w:t>RPV</w:t>
      </w:r>
      <w:r>
        <w:rPr>
          <w:rFonts w:ascii="Times New Roman" w:hAnsi="Times New Roman" w:cs="Times New Roman" w:hint="eastAsia"/>
          <w:lang w:bidi="ar"/>
        </w:rPr>
        <w:t>辐照脆化水平，继而分析论证</w:t>
      </w:r>
      <w:r>
        <w:rPr>
          <w:rFonts w:ascii="Times New Roman" w:hAnsi="Times New Roman" w:cs="Times New Roman" w:hint="eastAsia"/>
          <w:lang w:bidi="ar"/>
        </w:rPr>
        <w:t>RPV</w:t>
      </w:r>
      <w:r>
        <w:rPr>
          <w:rFonts w:ascii="Times New Roman" w:hAnsi="Times New Roman" w:cs="Times New Roman" w:hint="eastAsia"/>
          <w:lang w:bidi="ar"/>
        </w:rPr>
        <w:t>的结构完整性。</w:t>
      </w:r>
      <w:r>
        <w:rPr>
          <w:rFonts w:cs="宋体" w:hint="eastAsia"/>
          <w:kern w:val="0"/>
          <w:lang w:val="zh-CN"/>
        </w:rPr>
        <w:t>因此，开发建立</w:t>
      </w:r>
      <w:r>
        <w:rPr>
          <w:rFonts w:cs="宋体" w:hint="eastAsia"/>
          <w:kern w:val="0"/>
          <w:lang w:val="zh-CN"/>
        </w:rPr>
        <w:t>RPV</w:t>
      </w:r>
      <w:r>
        <w:rPr>
          <w:rFonts w:cs="宋体" w:hint="eastAsia"/>
          <w:kern w:val="0"/>
          <w:lang w:val="zh-CN"/>
        </w:rPr>
        <w:t>钢辐照脆化预测</w:t>
      </w:r>
      <w:r>
        <w:rPr>
          <w:rFonts w:cs="宋体" w:hint="eastAsia"/>
          <w:kern w:val="0"/>
        </w:rPr>
        <w:t>评估</w:t>
      </w:r>
      <w:r>
        <w:rPr>
          <w:rFonts w:cs="宋体" w:hint="eastAsia"/>
          <w:kern w:val="0"/>
          <w:lang w:val="zh-CN"/>
        </w:rPr>
        <w:t>模型有现实的工程应用需求。国外核监管机构已经</w:t>
      </w:r>
      <w:r>
        <w:rPr>
          <w:rFonts w:cs="宋体" w:hint="eastAsia"/>
          <w:kern w:val="0"/>
        </w:rPr>
        <w:t>通过管理导则或者标准</w:t>
      </w:r>
      <w:r>
        <w:rPr>
          <w:rFonts w:cs="宋体" w:hint="eastAsia"/>
          <w:kern w:val="0"/>
          <w:lang w:val="zh-CN"/>
        </w:rPr>
        <w:t>发布了</w:t>
      </w:r>
      <w:r>
        <w:rPr>
          <w:rFonts w:cs="宋体" w:hint="eastAsia"/>
          <w:kern w:val="0"/>
        </w:rPr>
        <w:t>部分</w:t>
      </w:r>
      <w:r>
        <w:rPr>
          <w:rFonts w:cs="宋体" w:hint="eastAsia"/>
          <w:kern w:val="0"/>
          <w:lang w:val="zh-CN"/>
        </w:rPr>
        <w:t>RPV</w:t>
      </w:r>
      <w:r>
        <w:rPr>
          <w:rFonts w:cs="宋体" w:hint="eastAsia"/>
          <w:kern w:val="0"/>
          <w:lang w:val="zh-CN"/>
        </w:rPr>
        <w:t>辐照脆化预测模型，但目前我国国家层面尚未公布适用于我国</w:t>
      </w:r>
      <w:r>
        <w:rPr>
          <w:rFonts w:cs="宋体" w:hint="eastAsia"/>
          <w:kern w:val="0"/>
          <w:lang w:val="zh-CN"/>
        </w:rPr>
        <w:t>的</w:t>
      </w:r>
      <w:r>
        <w:rPr>
          <w:rFonts w:cs="宋体" w:hint="eastAsia"/>
          <w:kern w:val="0"/>
          <w:lang w:val="zh-CN"/>
        </w:rPr>
        <w:t>RPV</w:t>
      </w:r>
      <w:r>
        <w:rPr>
          <w:rFonts w:cs="宋体" w:hint="eastAsia"/>
          <w:kern w:val="0"/>
          <w:lang w:val="zh-CN"/>
        </w:rPr>
        <w:t>钢辐照脆化预测模型，在评估</w:t>
      </w:r>
      <w:r>
        <w:rPr>
          <w:rFonts w:cs="宋体" w:hint="eastAsia"/>
          <w:kern w:val="0"/>
          <w:lang w:val="zh-CN"/>
        </w:rPr>
        <w:t>RPV</w:t>
      </w:r>
      <w:r>
        <w:rPr>
          <w:rFonts w:cs="宋体" w:hint="eastAsia"/>
          <w:kern w:val="0"/>
          <w:lang w:val="zh-CN"/>
        </w:rPr>
        <w:t>钢辐照脆化状态时，目前仍需借鉴国外预测模型，如大亚湾核电厂许可证延续论证过程中</w:t>
      </w:r>
      <w:r>
        <w:rPr>
          <w:rFonts w:cs="宋体" w:hint="eastAsia"/>
          <w:kern w:val="0"/>
          <w:lang w:val="zh-CN"/>
        </w:rPr>
        <w:t>RPV</w:t>
      </w:r>
      <w:r>
        <w:rPr>
          <w:rFonts w:cs="宋体" w:hint="eastAsia"/>
          <w:kern w:val="0"/>
          <w:lang w:val="zh-CN"/>
        </w:rPr>
        <w:lastRenderedPageBreak/>
        <w:t>时限老化分析（</w:t>
      </w:r>
      <w:r>
        <w:rPr>
          <w:rFonts w:cs="宋体" w:hint="eastAsia"/>
          <w:kern w:val="0"/>
          <w:lang w:val="zh-CN"/>
        </w:rPr>
        <w:t>TLAA</w:t>
      </w:r>
      <w:r>
        <w:rPr>
          <w:rFonts w:cs="宋体" w:hint="eastAsia"/>
          <w:kern w:val="0"/>
          <w:lang w:val="zh-CN"/>
        </w:rPr>
        <w:t>）时采用法国</w:t>
      </w:r>
      <w:r>
        <w:rPr>
          <w:rFonts w:cs="宋体" w:hint="eastAsia"/>
          <w:kern w:val="0"/>
          <w:lang w:val="zh-CN"/>
        </w:rPr>
        <w:t>RCCM</w:t>
      </w:r>
      <w:r>
        <w:rPr>
          <w:rFonts w:cs="宋体" w:hint="eastAsia"/>
          <w:kern w:val="0"/>
          <w:lang w:val="zh-CN"/>
        </w:rPr>
        <w:t>规范</w:t>
      </w:r>
      <w:r>
        <w:rPr>
          <w:rFonts w:cs="宋体" w:hint="eastAsia"/>
          <w:kern w:val="0"/>
          <w:lang w:val="zh-CN"/>
        </w:rPr>
        <w:t>ZG3430</w:t>
      </w:r>
      <w:r>
        <w:rPr>
          <w:rFonts w:cs="宋体" w:hint="eastAsia"/>
          <w:kern w:val="0"/>
          <w:lang w:val="zh-CN"/>
        </w:rPr>
        <w:t>预测模型。当前我国相关核电集团已经进行了辐照脆化预测</w:t>
      </w:r>
      <w:r>
        <w:rPr>
          <w:rFonts w:cs="宋体" w:hint="eastAsia"/>
          <w:kern w:val="0"/>
        </w:rPr>
        <w:t>评估</w:t>
      </w:r>
      <w:r>
        <w:rPr>
          <w:rFonts w:cs="宋体" w:hint="eastAsia"/>
          <w:kern w:val="0"/>
          <w:lang w:val="zh-CN"/>
        </w:rPr>
        <w:t>模型的开发工作，如早期中核集团原子能院、</w:t>
      </w:r>
      <w:r>
        <w:rPr>
          <w:rFonts w:cs="宋体" w:hint="eastAsia"/>
          <w:kern w:val="0"/>
        </w:rPr>
        <w:t>中</w:t>
      </w:r>
      <w:r>
        <w:rPr>
          <w:rFonts w:cs="宋体" w:hint="eastAsia"/>
          <w:kern w:val="0"/>
          <w:lang w:val="zh-CN"/>
        </w:rPr>
        <w:t>广核集团苏州热工研究院等都初步开发了辐照脆化预测</w:t>
      </w:r>
      <w:r>
        <w:rPr>
          <w:rFonts w:cs="宋体" w:hint="eastAsia"/>
          <w:kern w:val="0"/>
        </w:rPr>
        <w:t>评估</w:t>
      </w:r>
      <w:r>
        <w:rPr>
          <w:rFonts w:cs="宋体" w:hint="eastAsia"/>
          <w:kern w:val="0"/>
          <w:lang w:val="zh-CN"/>
        </w:rPr>
        <w:t>模型，但由于早期在辐照脆化机制认知、辐照数据积累</w:t>
      </w:r>
      <w:r>
        <w:rPr>
          <w:rFonts w:cs="宋体" w:hint="eastAsia"/>
          <w:kern w:val="0"/>
        </w:rPr>
        <w:t>以及模型开发规范性方面存在</w:t>
      </w:r>
      <w:r>
        <w:rPr>
          <w:rFonts w:cs="宋体" w:hint="eastAsia"/>
          <w:kern w:val="0"/>
          <w:lang w:val="zh-CN"/>
        </w:rPr>
        <w:t>限制，</w:t>
      </w:r>
      <w:r>
        <w:rPr>
          <w:rFonts w:cs="宋体" w:hint="eastAsia"/>
          <w:kern w:val="0"/>
        </w:rPr>
        <w:t>导致</w:t>
      </w:r>
      <w:r>
        <w:rPr>
          <w:rFonts w:cs="宋体" w:hint="eastAsia"/>
          <w:kern w:val="0"/>
          <w:lang w:val="zh-CN"/>
        </w:rPr>
        <w:t>早期开发的模型都需进行进一步改进以提升准确性与可靠性。</w:t>
      </w:r>
    </w:p>
    <w:p w:rsidR="0000699C" w:rsidRDefault="000801E7">
      <w:pPr>
        <w:autoSpaceDE w:val="0"/>
        <w:autoSpaceDN w:val="0"/>
        <w:adjustRightInd w:val="0"/>
        <w:spacing w:line="440" w:lineRule="atLeast"/>
        <w:ind w:firstLine="480"/>
        <w:rPr>
          <w:rFonts w:cs="宋体"/>
          <w:kern w:val="0"/>
          <w:lang w:val="zh-CN"/>
        </w:rPr>
      </w:pPr>
      <w:r>
        <w:rPr>
          <w:rFonts w:cs="宋体" w:hint="eastAsia"/>
          <w:kern w:val="0"/>
          <w:lang w:val="zh-CN"/>
        </w:rPr>
        <w:t>在模型开发建立过程中，由于模型开发思路、辐照脆化数据、初始预测模型选择等多方面的影响，导致不同模型开发后预测结果存在很大的差异性。如科技部重点研发计划项目采用机器学习算法开发建立</w:t>
      </w:r>
      <w:r>
        <w:rPr>
          <w:rFonts w:cs="宋体" w:hint="eastAsia"/>
          <w:kern w:val="0"/>
          <w:lang w:val="zh-CN"/>
        </w:rPr>
        <w:t>了</w:t>
      </w:r>
      <w:r>
        <w:rPr>
          <w:rFonts w:cs="宋体" w:hint="eastAsia"/>
          <w:kern w:val="0"/>
          <w:lang w:val="zh-CN"/>
        </w:rPr>
        <w:t>新形式的</w:t>
      </w:r>
      <w:r>
        <w:rPr>
          <w:rFonts w:cs="宋体" w:hint="eastAsia"/>
          <w:kern w:val="0"/>
          <w:lang w:val="zh-CN"/>
        </w:rPr>
        <w:t>RPV</w:t>
      </w:r>
      <w:r>
        <w:rPr>
          <w:rFonts w:cs="宋体" w:hint="eastAsia"/>
          <w:kern w:val="0"/>
          <w:lang w:val="zh-CN"/>
        </w:rPr>
        <w:t>辐照脆化模型，并进行电厂示范应用（</w:t>
      </w:r>
      <w:r>
        <w:rPr>
          <w:rFonts w:cs="宋体" w:hint="eastAsia"/>
          <w:kern w:val="0"/>
        </w:rPr>
        <w:t>中</w:t>
      </w:r>
      <w:r>
        <w:rPr>
          <w:rFonts w:cs="宋体" w:hint="eastAsia"/>
          <w:kern w:val="0"/>
          <w:lang w:val="zh-CN"/>
        </w:rPr>
        <w:t>广核、中核），但新形式模型迥异于常规模型，如何评价模型的可靠性并得到行业学者认可是一个亟待解决的现实问题；部分核电单位在传统模型开发方面已经进行了</w:t>
      </w:r>
      <w:r>
        <w:rPr>
          <w:rFonts w:cs="宋体" w:hint="eastAsia"/>
          <w:kern w:val="0"/>
        </w:rPr>
        <w:t>长期</w:t>
      </w:r>
      <w:r>
        <w:rPr>
          <w:rFonts w:cs="宋体" w:hint="eastAsia"/>
          <w:kern w:val="0"/>
          <w:lang w:val="zh-CN"/>
        </w:rPr>
        <w:t>开发，但由于缺乏模型开发的统一架构和模型可靠性与准确性评估的标准体系，导致模型开发人为因素大，开发过程溯源性与重现性差，致使相关模型</w:t>
      </w:r>
      <w:r>
        <w:rPr>
          <w:rFonts w:cs="宋体" w:hint="eastAsia"/>
          <w:kern w:val="0"/>
          <w:lang w:val="zh-CN"/>
        </w:rPr>
        <w:t>无法得到监管机构和行业人员的认可，不利于后续模型通过国家层面发布。因此，鉴于当前行业的现实需求，亟需建立反应堆压力容器材料辐照脆化预测评估模型开发准则，以规范模型开发过程及评估验证，为模型的国家层面发布奠定基础。</w:t>
      </w:r>
    </w:p>
    <w:p w:rsidR="0000699C" w:rsidRDefault="000801E7">
      <w:pPr>
        <w:ind w:firstLineChars="200" w:firstLine="480"/>
      </w:pPr>
      <w:r>
        <w:rPr>
          <w:rFonts w:hint="eastAsia"/>
        </w:rPr>
        <w:t>本标准澄清了</w:t>
      </w:r>
      <w:r>
        <w:rPr>
          <w:rFonts w:hint="eastAsia"/>
        </w:rPr>
        <w:t>RPV</w:t>
      </w:r>
      <w:r>
        <w:rPr>
          <w:rFonts w:hint="eastAsia"/>
        </w:rPr>
        <w:t>辐照脆化的物理机制，</w:t>
      </w:r>
      <w:r>
        <w:rPr>
          <w:rFonts w:ascii="Times New Roman" w:hAnsi="Times New Roman" w:cs="Times New Roman"/>
        </w:rPr>
        <w:t>包括硬化脆化</w:t>
      </w:r>
      <w:r>
        <w:rPr>
          <w:rFonts w:ascii="Times New Roman" w:cs="Times New Roman" w:hint="eastAsia"/>
        </w:rPr>
        <w:t>机制</w:t>
      </w:r>
      <w:r>
        <w:rPr>
          <w:rFonts w:ascii="Times New Roman" w:hAnsi="Times New Roman" w:cs="Times New Roman"/>
        </w:rPr>
        <w:t>和非硬化脆化</w:t>
      </w:r>
      <w:r>
        <w:rPr>
          <w:rFonts w:ascii="Times New Roman" w:cs="Times New Roman" w:hint="eastAsia"/>
        </w:rPr>
        <w:t>机制，并对每种机制的形成进行了明确。</w:t>
      </w:r>
    </w:p>
    <w:p w:rsidR="0000699C" w:rsidRDefault="000801E7">
      <w:pPr>
        <w:ind w:firstLineChars="200" w:firstLine="480"/>
      </w:pPr>
      <w:r>
        <w:rPr>
          <w:rFonts w:hint="eastAsia"/>
        </w:rPr>
        <w:t>本标准明确了辐照脆化预测评估模型开发数据要求，</w:t>
      </w:r>
      <w:r>
        <w:rPr>
          <w:rFonts w:ascii="Times New Roman" w:hAnsi="Times New Roman" w:cs="Times New Roman"/>
        </w:rPr>
        <w:t>包括材料种类、</w:t>
      </w:r>
      <w:r>
        <w:rPr>
          <w:rFonts w:ascii="Times New Roman" w:cs="Times New Roman" w:hint="eastAsia"/>
        </w:rPr>
        <w:t>材料型式</w:t>
      </w:r>
      <w:r>
        <w:rPr>
          <w:rFonts w:ascii="Times New Roman" w:hAnsi="Times New Roman" w:cs="Times New Roman"/>
        </w:rPr>
        <w:t>、材料化学成分、辐照参数、力学性能参数等</w:t>
      </w:r>
      <w:r>
        <w:rPr>
          <w:rFonts w:ascii="Times New Roman" w:hAnsi="Times New Roman" w:cs="Times New Roman" w:hint="eastAsia"/>
        </w:rPr>
        <w:t>。</w:t>
      </w:r>
    </w:p>
    <w:p w:rsidR="0000699C" w:rsidRDefault="000801E7">
      <w:pPr>
        <w:ind w:firstLineChars="200" w:firstLine="480"/>
      </w:pPr>
      <w:r>
        <w:rPr>
          <w:rFonts w:hint="eastAsia"/>
        </w:rPr>
        <w:t>本标准确定了预测评估模型开发的基本步骤，包括</w:t>
      </w:r>
      <w:r>
        <w:rPr>
          <w:rFonts w:ascii="Times New Roman" w:hAnsi="Times New Roman" w:cs="Times New Roman" w:hint="eastAsia"/>
        </w:rPr>
        <w:t>辐照脆化影响因素</w:t>
      </w:r>
      <w:r>
        <w:rPr>
          <w:rFonts w:ascii="Times New Roman" w:cs="Times New Roman" w:hint="eastAsia"/>
        </w:rPr>
        <w:t>确定、初始</w:t>
      </w:r>
      <w:r>
        <w:rPr>
          <w:rFonts w:ascii="Times New Roman" w:hAnsi="Times New Roman" w:cs="Times New Roman" w:hint="eastAsia"/>
        </w:rPr>
        <w:t>低</w:t>
      </w:r>
      <w:r>
        <w:rPr>
          <w:rFonts w:ascii="Times New Roman" w:hAnsi="Times New Roman" w:cs="Times New Roman" w:hint="eastAsia"/>
        </w:rPr>
        <w:t>Cu</w:t>
      </w:r>
      <w:r>
        <w:rPr>
          <w:rFonts w:ascii="Times New Roman" w:hAnsi="Times New Roman" w:cs="Times New Roman" w:hint="eastAsia"/>
        </w:rPr>
        <w:t>数据</w:t>
      </w:r>
      <w:r>
        <w:rPr>
          <w:rFonts w:ascii="Times New Roman" w:cs="Times New Roman" w:hint="eastAsia"/>
        </w:rPr>
        <w:t>筛选、</w:t>
      </w:r>
      <w:bookmarkStart w:id="0" w:name="OLE_LINK2"/>
      <w:r>
        <w:rPr>
          <w:rFonts w:ascii="Times New Roman" w:cs="Times New Roman" w:hint="eastAsia"/>
        </w:rPr>
        <w:t>低</w:t>
      </w:r>
      <w:r>
        <w:rPr>
          <w:rFonts w:ascii="Times New Roman" w:cs="Times New Roman" w:hint="eastAsia"/>
        </w:rPr>
        <w:t>Cu</w:t>
      </w:r>
      <w:r>
        <w:rPr>
          <w:rFonts w:ascii="Times New Roman" w:cs="Times New Roman" w:hint="eastAsia"/>
        </w:rPr>
        <w:t>数据归组</w:t>
      </w:r>
      <w:bookmarkEnd w:id="0"/>
      <w:r>
        <w:rPr>
          <w:rFonts w:ascii="Times New Roman" w:cs="Times New Roman" w:hint="eastAsia"/>
        </w:rPr>
        <w:t>、</w:t>
      </w:r>
      <w:r>
        <w:rPr>
          <w:rFonts w:ascii="Times New Roman" w:hAnsi="Times New Roman" w:cs="Times New Roman"/>
        </w:rPr>
        <w:t>基本模型</w:t>
      </w:r>
      <w:r>
        <w:rPr>
          <w:rFonts w:ascii="Times New Roman" w:cs="Times New Roman" w:hint="eastAsia"/>
        </w:rPr>
        <w:t>选取、</w:t>
      </w:r>
      <w:r>
        <w:rPr>
          <w:rFonts w:ascii="Times New Roman" w:hAnsi="Times New Roman" w:cs="Times New Roman"/>
        </w:rPr>
        <w:t>基本模型</w:t>
      </w:r>
      <w:r>
        <w:rPr>
          <w:rFonts w:ascii="Times New Roman" w:cs="Times New Roman" w:hint="eastAsia"/>
        </w:rPr>
        <w:t>参数确定、</w:t>
      </w:r>
      <w:bookmarkStart w:id="1" w:name="OLE_LINK3"/>
      <w:r>
        <w:rPr>
          <w:rFonts w:ascii="Times New Roman" w:cs="Times New Roman" w:hint="eastAsia"/>
        </w:rPr>
        <w:t>低</w:t>
      </w:r>
      <w:r>
        <w:rPr>
          <w:rFonts w:ascii="Times New Roman" w:cs="Times New Roman" w:hint="eastAsia"/>
        </w:rPr>
        <w:t>Cu</w:t>
      </w:r>
      <w:r>
        <w:rPr>
          <w:rFonts w:ascii="Times New Roman" w:cs="Times New Roman" w:hint="eastAsia"/>
        </w:rPr>
        <w:t>数据临界值确定</w:t>
      </w:r>
      <w:bookmarkEnd w:id="1"/>
      <w:r>
        <w:rPr>
          <w:rFonts w:ascii="Times New Roman" w:cs="Times New Roman" w:hint="eastAsia"/>
        </w:rPr>
        <w:t>、精确低</w:t>
      </w:r>
      <w:r>
        <w:rPr>
          <w:rFonts w:ascii="Times New Roman" w:cs="Times New Roman" w:hint="eastAsia"/>
        </w:rPr>
        <w:t>Cu</w:t>
      </w:r>
      <w:r>
        <w:rPr>
          <w:rFonts w:ascii="Times New Roman" w:cs="Times New Roman" w:hint="eastAsia"/>
        </w:rPr>
        <w:t>数据筛选、</w:t>
      </w:r>
      <w:r>
        <w:rPr>
          <w:rStyle w:val="patentcontentblock1"/>
          <w:rFonts w:ascii="Times New Roman" w:cs="Times New Roman" w:hint="eastAsia"/>
          <w:sz w:val="24"/>
          <w:szCs w:val="24"/>
          <w:lang w:bidi="ar"/>
        </w:rPr>
        <w:t>R</w:t>
      </w:r>
      <w:r>
        <w:rPr>
          <w:rStyle w:val="patentcontentblock1"/>
          <w:rFonts w:ascii="Times New Roman" w:cs="Times New Roman" w:hint="eastAsia"/>
          <w:sz w:val="24"/>
          <w:szCs w:val="24"/>
          <w:lang w:bidi="ar"/>
        </w:rPr>
        <w:t>分析、</w:t>
      </w:r>
      <w:r>
        <w:rPr>
          <w:rFonts w:ascii="Times New Roman" w:cs="Times New Roman" w:hint="eastAsia"/>
        </w:rPr>
        <w:t>关联模型引入、关联模型参数确定、模型评估、模型适用范围确定及模型建立。</w:t>
      </w:r>
    </w:p>
    <w:p w:rsidR="0000699C" w:rsidRDefault="000801E7">
      <w:pPr>
        <w:ind w:firstLineChars="200" w:firstLine="480"/>
      </w:pPr>
      <w:r>
        <w:rPr>
          <w:rFonts w:hint="eastAsia"/>
        </w:rPr>
        <w:t>本标准制定了预测评估模型准确性评估方法，</w:t>
      </w:r>
      <w:r>
        <w:rPr>
          <w:rStyle w:val="patentcontentblock1"/>
          <w:rFonts w:ascii="Times New Roman" w:hAnsi="Times New Roman" w:cs="Times New Roman"/>
          <w:sz w:val="24"/>
          <w:szCs w:val="24"/>
          <w:lang w:bidi="ar"/>
        </w:rPr>
        <w:t>包括</w:t>
      </w:r>
      <w:r>
        <w:rPr>
          <w:rStyle w:val="patentcontentblock1"/>
          <w:rFonts w:ascii="Times New Roman" w:hAnsi="Times New Roman" w:cs="Times New Roman" w:hint="eastAsia"/>
          <w:sz w:val="24"/>
          <w:szCs w:val="24"/>
          <w:lang w:bidi="ar"/>
        </w:rPr>
        <w:t>R</w:t>
      </w:r>
      <w:r>
        <w:rPr>
          <w:rStyle w:val="patentcontentblock1"/>
          <w:rFonts w:ascii="Times New Roman" w:hAnsi="Times New Roman" w:cs="Times New Roman"/>
          <w:sz w:val="24"/>
          <w:szCs w:val="24"/>
          <w:lang w:bidi="ar"/>
        </w:rPr>
        <w:t>分析、标准差分析、决定系数</w:t>
      </w:r>
      <w:r>
        <w:rPr>
          <w:rStyle w:val="patentcontentblock1"/>
          <w:rFonts w:ascii="Times New Roman" w:hAnsi="Times New Roman" w:cs="Times New Roman"/>
          <w:sz w:val="24"/>
          <w:szCs w:val="24"/>
          <w:lang w:bidi="ar"/>
        </w:rPr>
        <w:t>R</w:t>
      </w:r>
      <w:r>
        <w:rPr>
          <w:rStyle w:val="patentcontentblock1"/>
          <w:rFonts w:ascii="Times New Roman" w:hAnsi="Times New Roman" w:cs="Times New Roman"/>
          <w:sz w:val="24"/>
          <w:szCs w:val="24"/>
          <w:vertAlign w:val="superscript"/>
          <w:lang w:bidi="ar"/>
        </w:rPr>
        <w:t>2</w:t>
      </w:r>
      <w:r>
        <w:rPr>
          <w:rStyle w:val="patentcontentblock1"/>
          <w:rFonts w:ascii="Times New Roman" w:hAnsi="Times New Roman" w:cs="Times New Roman"/>
          <w:sz w:val="24"/>
          <w:szCs w:val="24"/>
          <w:lang w:bidi="ar"/>
        </w:rPr>
        <w:t>分析等</w:t>
      </w:r>
      <w:r>
        <w:rPr>
          <w:rStyle w:val="patentcontentblock1"/>
          <w:rFonts w:ascii="Times New Roman" w:hAnsi="Times New Roman" w:cs="Times New Roman" w:hint="eastAsia"/>
          <w:sz w:val="24"/>
          <w:szCs w:val="24"/>
          <w:lang w:bidi="ar"/>
        </w:rPr>
        <w:t>。</w:t>
      </w:r>
    </w:p>
    <w:p w:rsidR="0000699C" w:rsidRDefault="000801E7">
      <w:pPr>
        <w:ind w:firstLineChars="200" w:firstLine="480"/>
        <w:rPr>
          <w:rStyle w:val="patentcontentblock1"/>
          <w:rFonts w:ascii="Times New Roman" w:hAnsi="Times New Roman" w:cs="Times New Roman"/>
          <w:sz w:val="24"/>
          <w:szCs w:val="24"/>
          <w:lang w:bidi="ar"/>
        </w:rPr>
      </w:pPr>
      <w:r>
        <w:rPr>
          <w:rFonts w:hint="eastAsia"/>
        </w:rPr>
        <w:t>本标准制定了预测评估模型可靠性评估方法，</w:t>
      </w:r>
      <w:r>
        <w:rPr>
          <w:rStyle w:val="patentcontentblock1"/>
          <w:rFonts w:ascii="Times New Roman" w:hAnsi="Times New Roman" w:cs="Times New Roman" w:hint="eastAsia"/>
          <w:sz w:val="24"/>
          <w:szCs w:val="24"/>
          <w:lang w:bidi="ar"/>
        </w:rPr>
        <w:t>包括</w:t>
      </w:r>
      <w:r>
        <w:rPr>
          <w:rStyle w:val="patentcontentblock1"/>
          <w:rFonts w:ascii="Times New Roman" w:hAnsi="Times New Roman" w:cs="Times New Roman"/>
          <w:sz w:val="24"/>
          <w:szCs w:val="24"/>
          <w:lang w:bidi="ar"/>
        </w:rPr>
        <w:t>辐照脆化阈值</w:t>
      </w:r>
      <w:r>
        <w:rPr>
          <w:rStyle w:val="patentcontentblock1"/>
          <w:rFonts w:ascii="Times New Roman" w:hAnsi="Times New Roman" w:cs="Times New Roman" w:hint="eastAsia"/>
          <w:sz w:val="24"/>
          <w:szCs w:val="24"/>
          <w:lang w:bidi="ar"/>
        </w:rPr>
        <w:t>分析</w:t>
      </w:r>
      <w:r>
        <w:rPr>
          <w:rStyle w:val="patentcontentblock1"/>
          <w:rFonts w:ascii="Times New Roman" w:hAnsi="Times New Roman" w:cs="Times New Roman"/>
          <w:sz w:val="24"/>
          <w:szCs w:val="24"/>
          <w:lang w:bidi="ar"/>
        </w:rPr>
        <w:t>、</w:t>
      </w:r>
      <w:r>
        <w:rPr>
          <w:rStyle w:val="patentcontentblock1"/>
          <w:rFonts w:ascii="Times New Roman" w:hAnsi="Times New Roman" w:cs="Times New Roman" w:hint="eastAsia"/>
          <w:sz w:val="24"/>
          <w:szCs w:val="24"/>
          <w:lang w:bidi="ar"/>
        </w:rPr>
        <w:t>辐照脆化趋势分析、模型对比分析</w:t>
      </w:r>
      <w:r>
        <w:rPr>
          <w:rStyle w:val="patentcontentblock1"/>
          <w:rFonts w:ascii="Times New Roman" w:hAnsi="Times New Roman" w:cs="Times New Roman"/>
          <w:sz w:val="24"/>
          <w:szCs w:val="24"/>
          <w:lang w:bidi="ar"/>
        </w:rPr>
        <w:t>等</w:t>
      </w:r>
      <w:r>
        <w:rPr>
          <w:rStyle w:val="patentcontentblock1"/>
          <w:rFonts w:ascii="Times New Roman" w:hAnsi="Times New Roman" w:cs="Times New Roman" w:hint="eastAsia"/>
          <w:sz w:val="24"/>
          <w:szCs w:val="24"/>
          <w:lang w:bidi="ar"/>
        </w:rPr>
        <w:t>。</w:t>
      </w:r>
    </w:p>
    <w:p w:rsidR="0000699C" w:rsidRDefault="000801E7">
      <w:pPr>
        <w:ind w:firstLineChars="200" w:firstLine="480"/>
      </w:pPr>
      <w:r>
        <w:rPr>
          <w:rFonts w:hint="eastAsia"/>
        </w:rPr>
        <w:t>本标准制定了预测评估模型适用范围确定的要求。</w:t>
      </w:r>
    </w:p>
    <w:p w:rsidR="0000699C" w:rsidRDefault="000801E7">
      <w:pPr>
        <w:ind w:firstLineChars="200" w:firstLine="480"/>
      </w:pPr>
      <w:r>
        <w:rPr>
          <w:rFonts w:hint="eastAsia"/>
        </w:rPr>
        <w:lastRenderedPageBreak/>
        <w:t>本标准提供了基于</w:t>
      </w:r>
      <w:r>
        <w:rPr>
          <w:rFonts w:hint="eastAsia"/>
        </w:rPr>
        <w:t>RPV</w:t>
      </w:r>
      <w:r>
        <w:rPr>
          <w:rFonts w:hint="eastAsia"/>
        </w:rPr>
        <w:t>材料辐照脆化预测评估模型开发准则进行的示范应用案例。</w:t>
      </w:r>
    </w:p>
    <w:p w:rsidR="0000699C" w:rsidRDefault="0000699C"/>
    <w:p w:rsidR="0000699C" w:rsidRDefault="000801E7">
      <w:pPr>
        <w:outlineLvl w:val="0"/>
        <w:rPr>
          <w:b/>
          <w:sz w:val="28"/>
          <w:szCs w:val="28"/>
        </w:rPr>
      </w:pPr>
      <w:r>
        <w:rPr>
          <w:rFonts w:hint="eastAsia"/>
          <w:b/>
          <w:sz w:val="28"/>
          <w:szCs w:val="28"/>
        </w:rPr>
        <w:t>三、主要试验（或验证）情况</w:t>
      </w:r>
    </w:p>
    <w:p w:rsidR="0000699C" w:rsidRDefault="000801E7">
      <w:pPr>
        <w:ind w:firstLineChars="200" w:firstLine="480"/>
        <w:rPr>
          <w:rFonts w:ascii="Times New Roman" w:hAnsi="Times New Roman" w:cs="Times New Roman"/>
          <w:b/>
        </w:rPr>
      </w:pPr>
      <w:r>
        <w:rPr>
          <w:rFonts w:hint="eastAsia"/>
        </w:rPr>
        <w:t>本标准提供了基于</w:t>
      </w:r>
      <w:r>
        <w:rPr>
          <w:rFonts w:hint="eastAsia"/>
        </w:rPr>
        <w:t>RPV</w:t>
      </w:r>
      <w:r>
        <w:rPr>
          <w:rFonts w:hint="eastAsia"/>
        </w:rPr>
        <w:t>材料辐照脆化预测评估模型开发准则进行的示范性开发，以下为验证开发过程：</w:t>
      </w:r>
    </w:p>
    <w:p w:rsidR="0000699C" w:rsidRDefault="000801E7">
      <w:pPr>
        <w:rPr>
          <w:b/>
          <w:bCs/>
        </w:rPr>
      </w:pPr>
      <w:r>
        <w:rPr>
          <w:b/>
          <w:bCs/>
        </w:rPr>
        <w:t>1</w:t>
      </w:r>
      <w:r>
        <w:rPr>
          <w:rFonts w:hint="eastAsia"/>
          <w:b/>
          <w:bCs/>
        </w:rPr>
        <w:t>）、</w:t>
      </w:r>
      <w:r>
        <w:rPr>
          <w:b/>
          <w:bCs/>
        </w:rPr>
        <w:t>辐照脆化数据</w:t>
      </w:r>
    </w:p>
    <w:p w:rsidR="0000699C" w:rsidRDefault="000801E7">
      <w:pPr>
        <w:widowControl w:val="0"/>
        <w:spacing w:line="276" w:lineRule="auto"/>
        <w:ind w:firstLineChars="200" w:firstLine="480"/>
        <w:rPr>
          <w:rFonts w:ascii="Times New Roman" w:hAnsi="Times New Roman" w:cs="Times New Roman"/>
          <w:lang w:bidi="ar"/>
        </w:rPr>
      </w:pPr>
      <w:r>
        <w:rPr>
          <w:rFonts w:ascii="Times New Roman" w:hAnsi="Times New Roman" w:cs="Times New Roman"/>
          <w:color w:val="000000"/>
          <w:lang w:bidi="ar"/>
        </w:rPr>
        <w:t>收集</w:t>
      </w:r>
      <w:r>
        <w:rPr>
          <w:rFonts w:ascii="Times New Roman" w:hAnsi="Times New Roman" w:cs="Times New Roman"/>
          <w:color w:val="000000"/>
          <w:lang w:bidi="ar"/>
        </w:rPr>
        <w:t>RPV</w:t>
      </w:r>
      <w:r>
        <w:rPr>
          <w:rFonts w:ascii="Times New Roman" w:hAnsi="Times New Roman" w:cs="Times New Roman"/>
          <w:color w:val="000000"/>
          <w:lang w:bidi="ar"/>
        </w:rPr>
        <w:t>辐照脆化数据（图</w:t>
      </w:r>
      <w:r>
        <w:rPr>
          <w:rFonts w:ascii="Times New Roman" w:hAnsi="Times New Roman" w:cs="Times New Roman"/>
          <w:color w:val="000000"/>
          <w:lang w:bidi="ar"/>
        </w:rPr>
        <w:t>1-1</w:t>
      </w:r>
      <w:r>
        <w:rPr>
          <w:rFonts w:ascii="Times New Roman" w:hAnsi="Times New Roman" w:cs="Times New Roman"/>
          <w:color w:val="000000"/>
          <w:lang w:bidi="ar"/>
        </w:rPr>
        <w:t>），数据科目包括材料种类、化学成分（包括</w:t>
      </w:r>
      <w:r>
        <w:rPr>
          <w:rFonts w:ascii="Times New Roman" w:hAnsi="Times New Roman" w:cs="Times New Roman"/>
          <w:color w:val="000000"/>
          <w:lang w:bidi="ar"/>
        </w:rPr>
        <w:t>Cu</w:t>
      </w:r>
      <w:r>
        <w:rPr>
          <w:rFonts w:ascii="Times New Roman" w:hAnsi="Times New Roman" w:cs="Times New Roman"/>
          <w:color w:val="000000"/>
          <w:lang w:bidi="ar"/>
        </w:rPr>
        <w:t>、</w:t>
      </w:r>
      <w:r>
        <w:rPr>
          <w:rFonts w:ascii="Times New Roman" w:hAnsi="Times New Roman" w:cs="Times New Roman"/>
          <w:color w:val="000000"/>
          <w:lang w:bidi="ar"/>
        </w:rPr>
        <w:t>P</w:t>
      </w:r>
      <w:r>
        <w:rPr>
          <w:rFonts w:ascii="Times New Roman" w:hAnsi="Times New Roman" w:cs="Times New Roman"/>
          <w:color w:val="000000"/>
          <w:lang w:bidi="ar"/>
        </w:rPr>
        <w:t>、</w:t>
      </w:r>
      <w:r>
        <w:rPr>
          <w:rFonts w:ascii="Times New Roman" w:hAnsi="Times New Roman" w:cs="Times New Roman"/>
          <w:color w:val="000000"/>
          <w:lang w:bidi="ar"/>
        </w:rPr>
        <w:t>Mn</w:t>
      </w:r>
      <w:r>
        <w:rPr>
          <w:rFonts w:ascii="Times New Roman" w:hAnsi="Times New Roman" w:cs="Times New Roman"/>
          <w:color w:val="000000"/>
          <w:lang w:bidi="ar"/>
        </w:rPr>
        <w:t>、</w:t>
      </w:r>
      <w:r>
        <w:rPr>
          <w:rFonts w:ascii="Times New Roman" w:hAnsi="Times New Roman" w:cs="Times New Roman"/>
          <w:color w:val="000000"/>
          <w:lang w:bidi="ar"/>
        </w:rPr>
        <w:t>Ni</w:t>
      </w:r>
      <w:r>
        <w:rPr>
          <w:rFonts w:ascii="Times New Roman" w:hAnsi="Times New Roman" w:cs="Times New Roman"/>
          <w:color w:val="000000"/>
          <w:lang w:bidi="ar"/>
        </w:rPr>
        <w:t>、</w:t>
      </w:r>
      <w:r>
        <w:rPr>
          <w:rFonts w:ascii="Times New Roman" w:hAnsi="Times New Roman" w:cs="Times New Roman"/>
          <w:color w:val="000000"/>
          <w:lang w:bidi="ar"/>
        </w:rPr>
        <w:t>Si</w:t>
      </w:r>
      <w:r>
        <w:rPr>
          <w:rFonts w:ascii="Times New Roman" w:hAnsi="Times New Roman" w:cs="Times New Roman"/>
          <w:color w:val="000000"/>
          <w:lang w:bidi="ar"/>
        </w:rPr>
        <w:t>等）、中子注量、注量率、辐照温度、</w:t>
      </w:r>
      <w:r>
        <w:rPr>
          <w:rFonts w:ascii="Times New Roman" w:hAnsi="Times New Roman" w:cs="Times New Roman"/>
          <w:kern w:val="0"/>
          <w:lang w:bidi="ar"/>
        </w:rPr>
        <w:t>ΔRT</w:t>
      </w:r>
      <w:r>
        <w:rPr>
          <w:rFonts w:ascii="Times New Roman" w:hAnsi="Times New Roman" w:cs="Times New Roman"/>
          <w:kern w:val="0"/>
          <w:vertAlign w:val="subscript"/>
          <w:lang w:bidi="ar"/>
        </w:rPr>
        <w:t>NDT</w:t>
      </w:r>
      <w:r>
        <w:rPr>
          <w:rFonts w:ascii="Times New Roman" w:hAnsi="Times New Roman" w:cs="Times New Roman"/>
          <w:lang w:bidi="ar"/>
        </w:rPr>
        <w:t>等。</w:t>
      </w:r>
    </w:p>
    <w:p w:rsidR="0000699C" w:rsidRDefault="000801E7">
      <w:pPr>
        <w:spacing w:line="276" w:lineRule="auto"/>
        <w:ind w:firstLineChars="200" w:firstLine="480"/>
        <w:jc w:val="center"/>
        <w:rPr>
          <w:rFonts w:ascii="Times New Roman" w:hAnsi="Times New Roman" w:cs="Times New Roman"/>
        </w:rPr>
      </w:pPr>
      <w:r>
        <w:rPr>
          <w:rFonts w:ascii="Times New Roman" w:hAnsi="Times New Roman" w:cs="Times New Roman"/>
        </w:rPr>
        <w:object w:dxaOrig="6555" w:dyaOrig="4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28.75pt" o:ole="">
            <v:imagedata r:id="rId7" o:title=""/>
          </v:shape>
          <o:OLEObject Type="Embed" ProgID="Origin50.Graph" ShapeID="_x0000_i1025" DrawAspect="Content" ObjectID="_1728117637" r:id="rId8"/>
        </w:object>
      </w:r>
    </w:p>
    <w:p w:rsidR="0000699C" w:rsidRDefault="000801E7">
      <w:pPr>
        <w:spacing w:line="276" w:lineRule="auto"/>
        <w:jc w:val="center"/>
        <w:rPr>
          <w:rFonts w:ascii="Times New Roman" w:hAnsi="Times New Roman" w:cs="Times New Roman"/>
          <w:lang w:bidi="ar"/>
        </w:rPr>
      </w:pPr>
      <w:r>
        <w:rPr>
          <w:rFonts w:ascii="Times New Roman" w:hAnsi="Times New Roman" w:cs="Times New Roman"/>
          <w:bCs/>
        </w:rPr>
        <w:t>图</w:t>
      </w:r>
      <w:r>
        <w:rPr>
          <w:rFonts w:ascii="Times New Roman" w:hAnsi="Times New Roman" w:cs="Times New Roman"/>
          <w:bCs/>
        </w:rPr>
        <w:t>1</w:t>
      </w:r>
      <w:r>
        <w:rPr>
          <w:rFonts w:ascii="Times New Roman" w:hAnsi="Times New Roman" w:cs="Times New Roman"/>
          <w:bCs/>
        </w:rPr>
        <w:t>-1</w:t>
      </w:r>
      <w:r>
        <w:rPr>
          <w:rFonts w:ascii="Times New Roman" w:hAnsi="Times New Roman" w:cs="Times New Roman"/>
          <w:bCs/>
        </w:rPr>
        <w:t xml:space="preserve"> </w:t>
      </w:r>
      <w:r>
        <w:rPr>
          <w:rFonts w:ascii="Times New Roman" w:hAnsi="Times New Roman" w:cs="Times New Roman"/>
          <w:bCs/>
          <w:kern w:val="0"/>
        </w:rPr>
        <w:t>ΔRT</w:t>
      </w:r>
      <w:r>
        <w:rPr>
          <w:rFonts w:ascii="Times New Roman" w:hAnsi="Times New Roman" w:cs="Times New Roman"/>
          <w:bCs/>
          <w:kern w:val="0"/>
          <w:vertAlign w:val="subscript"/>
        </w:rPr>
        <w:t>NDT</w:t>
      </w:r>
      <w:r>
        <w:rPr>
          <w:rFonts w:ascii="Times New Roman" w:hAnsi="Times New Roman" w:cs="Times New Roman"/>
          <w:bCs/>
        </w:rPr>
        <w:t>随中子注量和</w:t>
      </w:r>
      <w:r>
        <w:rPr>
          <w:rFonts w:ascii="Times New Roman" w:hAnsi="Times New Roman" w:cs="Times New Roman"/>
          <w:bCs/>
        </w:rPr>
        <w:t>Cu</w:t>
      </w:r>
      <w:r>
        <w:rPr>
          <w:rFonts w:ascii="Times New Roman" w:hAnsi="Times New Roman" w:cs="Times New Roman"/>
          <w:bCs/>
        </w:rPr>
        <w:t>含量的变化</w:t>
      </w:r>
    </w:p>
    <w:p w:rsidR="0000699C" w:rsidRDefault="000801E7">
      <w:pPr>
        <w:rPr>
          <w:b/>
          <w:bCs/>
        </w:rPr>
      </w:pPr>
      <w:r>
        <w:rPr>
          <w:b/>
          <w:bCs/>
        </w:rPr>
        <w:t>2</w:t>
      </w:r>
      <w:r>
        <w:rPr>
          <w:rFonts w:hint="eastAsia"/>
          <w:b/>
          <w:bCs/>
        </w:rPr>
        <w:t>）、</w:t>
      </w:r>
      <w:r>
        <w:rPr>
          <w:b/>
          <w:bCs/>
        </w:rPr>
        <w:t>预测评估模型开发</w:t>
      </w:r>
    </w:p>
    <w:p w:rsidR="0000699C" w:rsidRDefault="000801E7">
      <w:pPr>
        <w:ind w:firstLineChars="200" w:firstLine="480"/>
        <w:rPr>
          <w:rFonts w:ascii="Times New Roman" w:hAnsi="Times New Roman" w:cs="Times New Roman"/>
        </w:rPr>
      </w:pPr>
      <w:r>
        <w:rPr>
          <w:rFonts w:ascii="Times New Roman" w:hAnsi="Times New Roman" w:cs="Times New Roman"/>
        </w:rPr>
        <w:t>筛选</w:t>
      </w:r>
      <w:r>
        <w:rPr>
          <w:rFonts w:ascii="Times New Roman" w:hAnsi="Times New Roman" w:cs="Times New Roman"/>
        </w:rPr>
        <w:t>Cu</w:t>
      </w:r>
      <w:r>
        <w:rPr>
          <w:rFonts w:ascii="Times New Roman" w:hAnsi="Times New Roman" w:cs="Times New Roman"/>
        </w:rPr>
        <w:t>含量</w:t>
      </w:r>
      <w:r>
        <w:rPr>
          <w:rFonts w:ascii="Times New Roman" w:hAnsi="Times New Roman" w:cs="Times New Roman"/>
        </w:rPr>
        <w:t>≤0.13%</w:t>
      </w:r>
      <w:r>
        <w:rPr>
          <w:rFonts w:ascii="Times New Roman" w:hAnsi="Times New Roman" w:cs="Times New Roman"/>
        </w:rPr>
        <w:t>辐照脆化数据，并进行低</w:t>
      </w:r>
      <w:r>
        <w:rPr>
          <w:rFonts w:ascii="Times New Roman" w:hAnsi="Times New Roman" w:cs="Times New Roman"/>
        </w:rPr>
        <w:t>Cu</w:t>
      </w:r>
      <w:r>
        <w:rPr>
          <w:rFonts w:ascii="Times New Roman" w:hAnsi="Times New Roman" w:cs="Times New Roman"/>
        </w:rPr>
        <w:t>数据归组。归组后的数据见附表</w:t>
      </w:r>
      <w:r>
        <w:rPr>
          <w:rFonts w:ascii="Times New Roman" w:hAnsi="Times New Roman" w:cs="Times New Roman"/>
        </w:rPr>
        <w:t>1</w:t>
      </w:r>
      <w:r>
        <w:rPr>
          <w:rFonts w:ascii="Times New Roman" w:hAnsi="Times New Roman" w:cs="Times New Roman"/>
        </w:rPr>
        <w:t>。</w:t>
      </w:r>
    </w:p>
    <w:p w:rsidR="0000699C" w:rsidRDefault="000801E7">
      <w:pPr>
        <w:ind w:firstLineChars="200" w:firstLine="480"/>
        <w:jc w:val="center"/>
        <w:rPr>
          <w:rFonts w:ascii="Times New Roman" w:hAnsi="Times New Roman" w:cs="Times New Roman"/>
        </w:rPr>
      </w:pPr>
      <w:r>
        <w:rPr>
          <w:rFonts w:ascii="Times New Roman" w:hAnsi="Times New Roman" w:cs="Times New Roman"/>
          <w:lang w:bidi="ar"/>
        </w:rPr>
        <w:t>附表</w:t>
      </w:r>
      <w:r>
        <w:rPr>
          <w:rFonts w:ascii="Times New Roman" w:hAnsi="Times New Roman" w:cs="Times New Roman"/>
          <w:lang w:bidi="ar"/>
        </w:rPr>
        <w:t xml:space="preserve">1 </w:t>
      </w:r>
      <w:r>
        <w:rPr>
          <w:rFonts w:ascii="Times New Roman" w:hAnsi="Times New Roman" w:cs="Times New Roman"/>
          <w:lang w:bidi="ar"/>
        </w:rPr>
        <w:t>初始低</w:t>
      </w:r>
      <w:r>
        <w:rPr>
          <w:rFonts w:ascii="Times New Roman" w:hAnsi="Times New Roman" w:cs="Times New Roman"/>
          <w:lang w:bidi="ar"/>
        </w:rPr>
        <w:t>Cu</w:t>
      </w:r>
      <w:r>
        <w:rPr>
          <w:rFonts w:ascii="Times New Roman" w:hAnsi="Times New Roman" w:cs="Times New Roman"/>
          <w:lang w:bidi="ar"/>
        </w:rPr>
        <w:t>数据归组结果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2546"/>
        <w:gridCol w:w="2122"/>
      </w:tblGrid>
      <w:tr w:rsidR="0000699C">
        <w:trPr>
          <w:trHeight w:val="224"/>
          <w:jc w:val="center"/>
        </w:trPr>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lang w:bidi="ar"/>
              </w:rPr>
              <w:t>归组序号</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 xml:space="preserve">Cu </w:t>
            </w:r>
            <w:r>
              <w:rPr>
                <w:rFonts w:ascii="Times New Roman" w:hAnsi="Times New Roman" w:cs="Times New Roman"/>
                <w:bCs/>
                <w:color w:val="000000"/>
                <w:kern w:val="24"/>
                <w:lang w:bidi="ar"/>
              </w:rPr>
              <w:t>含量范围</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平均</w:t>
            </w:r>
            <w:r>
              <w:rPr>
                <w:rFonts w:ascii="Times New Roman" w:hAnsi="Times New Roman" w:cs="Times New Roman"/>
                <w:bCs/>
                <w:color w:val="000000"/>
                <w:kern w:val="24"/>
                <w:lang w:bidi="ar"/>
              </w:rPr>
              <w:t>Cu</w:t>
            </w:r>
            <w:r>
              <w:rPr>
                <w:rFonts w:ascii="Times New Roman" w:hAnsi="Times New Roman" w:cs="Times New Roman"/>
                <w:bCs/>
                <w:color w:val="000000"/>
                <w:kern w:val="24"/>
                <w:lang w:bidi="ar"/>
              </w:rPr>
              <w:t>含量</w:t>
            </w:r>
          </w:p>
        </w:tc>
      </w:tr>
      <w:tr w:rsidR="0000699C">
        <w:trPr>
          <w:trHeight w:val="112"/>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1</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Cu≤0.02%</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0.017%</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2</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0.02%</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0.04%</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0.033%</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3</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0.04%≤Cu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0.05%</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0.042%</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4</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0.05%≤Cu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0.06%</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0.052%</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5</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0.06%≤Cu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0.065%</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0.06%</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6</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0.066%≤Cu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0.07%</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0.066%</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lastRenderedPageBreak/>
              <w:t>7</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0.07%≤Cu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0.075%</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0.070%</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8</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0.075%≤Cu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0.08%</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0.077%</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9</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0.08%≤Cu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0.085%</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0.080%</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10</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0.085%≤Cu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0.09%</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0.088%</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11</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0.09%≤Cu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0.10%</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0.09%</w:t>
            </w:r>
          </w:p>
        </w:tc>
      </w:tr>
      <w:tr w:rsidR="0000699C">
        <w:trPr>
          <w:trHeight w:val="241"/>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12</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0.10%≤Cu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0.11%</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w:t>
            </w:r>
          </w:p>
        </w:tc>
      </w:tr>
      <w:tr w:rsidR="0000699C">
        <w:trPr>
          <w:trHeight w:val="246"/>
          <w:jc w:val="center"/>
        </w:trPr>
        <w:tc>
          <w:tcPr>
            <w:tcW w:w="1641"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13</w:t>
            </w:r>
          </w:p>
        </w:tc>
        <w:tc>
          <w:tcPr>
            <w:tcW w:w="2546"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bCs/>
                <w:color w:val="000000"/>
                <w:kern w:val="24"/>
                <w:lang w:bidi="ar"/>
              </w:rPr>
              <w:t>0.11%≤Cu</w:t>
            </w:r>
            <w:r>
              <w:rPr>
                <w:rFonts w:ascii="Times New Roman" w:hAnsi="Times New Roman" w:cs="Times New Roman"/>
                <w:bCs/>
                <w:color w:val="000000"/>
                <w:kern w:val="24"/>
                <w:lang w:bidi="ar"/>
              </w:rPr>
              <w:t>＜</w:t>
            </w:r>
            <w:r>
              <w:rPr>
                <w:rFonts w:ascii="Times New Roman" w:hAnsi="Times New Roman" w:cs="Times New Roman"/>
                <w:bCs/>
                <w:color w:val="000000"/>
                <w:kern w:val="24"/>
                <w:lang w:bidi="ar"/>
              </w:rPr>
              <w:t>0.13%</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snapToGrid w:val="0"/>
              <w:spacing w:beforeAutospacing="1" w:afterAutospacing="1" w:line="276" w:lineRule="auto"/>
              <w:jc w:val="center"/>
              <w:rPr>
                <w:rFonts w:ascii="Times New Roman" w:hAnsi="Times New Roman" w:cs="Times New Roman"/>
                <w:kern w:val="0"/>
              </w:rPr>
            </w:pPr>
            <w:r>
              <w:rPr>
                <w:rFonts w:ascii="Times New Roman" w:hAnsi="Times New Roman" w:cs="Times New Roman"/>
                <w:color w:val="000000"/>
                <w:kern w:val="24"/>
                <w:lang w:bidi="ar"/>
              </w:rPr>
              <w:t>0.125%</w:t>
            </w:r>
          </w:p>
        </w:tc>
      </w:tr>
    </w:tbl>
    <w:p w:rsidR="0000699C" w:rsidRDefault="0000699C">
      <w:pPr>
        <w:ind w:firstLineChars="200" w:firstLine="480"/>
        <w:rPr>
          <w:rFonts w:ascii="Times New Roman" w:hAnsi="Times New Roman" w:cs="Times New Roman"/>
        </w:rPr>
      </w:pPr>
    </w:p>
    <w:p w:rsidR="0000699C" w:rsidRDefault="000801E7">
      <w:pPr>
        <w:widowControl w:val="0"/>
        <w:snapToGrid w:val="0"/>
        <w:spacing w:line="23" w:lineRule="atLeast"/>
        <w:ind w:firstLineChars="175" w:firstLine="420"/>
        <w:textAlignment w:val="baseline"/>
        <w:rPr>
          <w:rFonts w:ascii="Times New Roman" w:hAnsi="Times New Roman" w:cs="Times New Roman"/>
        </w:rPr>
      </w:pPr>
      <w:r>
        <w:rPr>
          <w:rFonts w:ascii="Times New Roman" w:hAnsi="Times New Roman" w:cs="Times New Roman"/>
          <w:lang w:bidi="ar"/>
        </w:rPr>
        <w:t>RPV</w:t>
      </w:r>
      <w:r>
        <w:rPr>
          <w:rFonts w:ascii="Times New Roman" w:hAnsi="Times New Roman" w:cs="Times New Roman"/>
          <w:lang w:bidi="ar"/>
        </w:rPr>
        <w:t>辐照脆化预测模型的基本模型为：</w:t>
      </w:r>
    </w:p>
    <w:p w:rsidR="0000699C" w:rsidRDefault="000801E7">
      <w:pPr>
        <w:widowControl w:val="0"/>
        <w:snapToGrid w:val="0"/>
        <w:spacing w:line="276" w:lineRule="auto"/>
        <w:ind w:firstLineChars="200" w:firstLine="480"/>
        <w:jc w:val="center"/>
        <w:textAlignment w:val="baseline"/>
        <w:rPr>
          <w:rFonts w:ascii="Times New Roman" w:hAnsi="Times New Roman" w:cs="Times New Roman"/>
        </w:rPr>
      </w:pPr>
      <w:r>
        <w:rPr>
          <w:rFonts w:ascii="Times New Roman" w:hAnsi="Times New Roman" w:cs="Times New Roman"/>
          <w:kern w:val="0"/>
          <w:lang w:bidi="ar"/>
        </w:rPr>
        <w:t>ΔRT</w:t>
      </w:r>
      <w:r>
        <w:rPr>
          <w:rFonts w:ascii="Times New Roman" w:hAnsi="Times New Roman" w:cs="Times New Roman"/>
          <w:kern w:val="0"/>
          <w:vertAlign w:val="subscript"/>
          <w:lang w:bidi="ar"/>
        </w:rPr>
        <w:t>NDT</w:t>
      </w:r>
      <w:r>
        <w:rPr>
          <w:rFonts w:ascii="Times New Roman" w:hAnsi="Times New Roman" w:cs="Times New Roman"/>
          <w:lang w:bidi="ar"/>
        </w:rPr>
        <w:t>=A</w:t>
      </w:r>
      <w:r>
        <w:rPr>
          <w:rFonts w:ascii="Times New Roman" w:hAnsi="Times New Roman" w:cs="Times New Roman"/>
          <w:vertAlign w:val="subscript"/>
          <w:lang w:bidi="ar"/>
        </w:rPr>
        <w:t>0</w:t>
      </w:r>
      <w:r>
        <w:rPr>
          <w:rFonts w:ascii="Times New Roman" w:hAnsi="Times New Roman" w:cs="Times New Roman"/>
          <w:lang w:bidi="ar"/>
        </w:rPr>
        <w:t>(</w:t>
      </w:r>
      <w:r>
        <w:rPr>
          <w:rFonts w:ascii="Times New Roman" w:hAnsi="Times New Roman" w:cs="Times New Roman"/>
          <w:bCs/>
          <w:color w:val="000000"/>
          <w:kern w:val="24"/>
          <w:lang w:bidi="ar"/>
        </w:rPr>
        <w:t>1-0.002445T)f</w:t>
      </w:r>
      <w:r>
        <w:rPr>
          <w:rFonts w:ascii="Times New Roman" w:hAnsi="Times New Roman" w:cs="Times New Roman"/>
          <w:bCs/>
          <w:color w:val="000000"/>
          <w:kern w:val="24"/>
          <w:vertAlign w:val="superscript"/>
          <w:lang w:bidi="ar"/>
        </w:rPr>
        <w:t>0.5</w:t>
      </w:r>
      <w:r>
        <w:rPr>
          <w:rFonts w:ascii="Times New Roman" w:hAnsi="Times New Roman" w:cs="Times New Roman"/>
          <w:bCs/>
          <w:color w:val="000000"/>
          <w:kern w:val="24"/>
          <w:lang w:bidi="ar"/>
        </w:rPr>
        <w:t xml:space="preserve">              </w:t>
      </w:r>
      <w:r>
        <w:rPr>
          <w:rFonts w:ascii="Times New Roman" w:hAnsi="Times New Roman" w:cs="Times New Roman"/>
          <w:bCs/>
          <w:color w:val="000000"/>
          <w:kern w:val="24"/>
          <w:lang w:bidi="ar"/>
        </w:rPr>
        <w:t>（模型</w:t>
      </w:r>
      <w:r>
        <w:rPr>
          <w:rFonts w:ascii="Times New Roman" w:hAnsi="Times New Roman" w:cs="Times New Roman"/>
          <w:bCs/>
          <w:color w:val="000000"/>
          <w:kern w:val="24"/>
          <w:lang w:bidi="ar"/>
        </w:rPr>
        <w:t>1</w:t>
      </w:r>
      <w:r>
        <w:rPr>
          <w:rFonts w:ascii="Times New Roman" w:hAnsi="Times New Roman" w:cs="Times New Roman"/>
          <w:bCs/>
          <w:color w:val="000000"/>
          <w:kern w:val="24"/>
          <w:lang w:bidi="ar"/>
        </w:rPr>
        <w:t>）</w:t>
      </w:r>
    </w:p>
    <w:p w:rsidR="0000699C" w:rsidRDefault="000801E7">
      <w:pPr>
        <w:widowControl w:val="0"/>
        <w:snapToGrid w:val="0"/>
        <w:spacing w:line="276" w:lineRule="auto"/>
        <w:textAlignment w:val="baseline"/>
        <w:rPr>
          <w:rFonts w:ascii="Times New Roman" w:hAnsi="Times New Roman" w:cs="Times New Roman"/>
        </w:rPr>
      </w:pPr>
      <w:r>
        <w:rPr>
          <w:rFonts w:ascii="Times New Roman" w:hAnsi="Times New Roman" w:cs="Times New Roman"/>
          <w:lang w:bidi="ar"/>
        </w:rPr>
        <w:t>其中，</w:t>
      </w:r>
      <w:r>
        <w:rPr>
          <w:rFonts w:ascii="Times New Roman" w:hAnsi="Times New Roman" w:cs="Times New Roman"/>
          <w:lang w:bidi="ar"/>
        </w:rPr>
        <w:t>T</w:t>
      </w:r>
      <w:r>
        <w:rPr>
          <w:rFonts w:ascii="Times New Roman" w:hAnsi="Times New Roman" w:cs="Times New Roman"/>
          <w:lang w:bidi="ar"/>
        </w:rPr>
        <w:t>为辐照温度，单位为</w:t>
      </w:r>
      <w:r>
        <w:rPr>
          <w:rFonts w:ascii="Times New Roman" w:hAnsi="Times New Roman" w:cs="Times New Roman"/>
          <w:vertAlign w:val="superscript"/>
          <w:lang w:bidi="ar"/>
        </w:rPr>
        <w:t>o</w:t>
      </w:r>
      <w:r>
        <w:rPr>
          <w:rFonts w:ascii="Times New Roman" w:hAnsi="Times New Roman" w:cs="Times New Roman"/>
          <w:lang w:bidi="ar"/>
        </w:rPr>
        <w:t>C</w:t>
      </w:r>
      <w:r>
        <w:rPr>
          <w:rFonts w:ascii="Times New Roman" w:hAnsi="Times New Roman" w:cs="Times New Roman"/>
          <w:lang w:bidi="ar"/>
        </w:rPr>
        <w:t>，</w:t>
      </w:r>
      <w:r>
        <w:rPr>
          <w:rFonts w:ascii="Times New Roman" w:hAnsi="Times New Roman" w:cs="Times New Roman"/>
          <w:lang w:bidi="ar"/>
        </w:rPr>
        <w:t>f</w:t>
      </w:r>
      <w:r>
        <w:rPr>
          <w:rFonts w:ascii="Times New Roman" w:hAnsi="Times New Roman" w:cs="Times New Roman"/>
          <w:lang w:bidi="ar"/>
        </w:rPr>
        <w:t>为辐照剂量，单位是</w:t>
      </w:r>
      <w:r>
        <w:rPr>
          <w:rFonts w:ascii="Times New Roman" w:hAnsi="Times New Roman" w:cs="Times New Roman"/>
          <w:lang w:bidi="ar"/>
        </w:rPr>
        <w:t>n/cm</w:t>
      </w:r>
      <w:r>
        <w:rPr>
          <w:rFonts w:ascii="Times New Roman" w:hAnsi="Times New Roman" w:cs="Times New Roman"/>
          <w:vertAlign w:val="superscript"/>
          <w:lang w:bidi="ar"/>
        </w:rPr>
        <w:t>2</w:t>
      </w:r>
      <w:r>
        <w:rPr>
          <w:rFonts w:ascii="Times New Roman" w:hAnsi="Times New Roman" w:cs="Times New Roman"/>
          <w:lang w:bidi="ar"/>
        </w:rPr>
        <w:t>，</w:t>
      </w:r>
      <w:r>
        <w:rPr>
          <w:rFonts w:ascii="Times New Roman" w:hAnsi="Times New Roman" w:cs="Times New Roman"/>
          <w:lang w:bidi="ar"/>
        </w:rPr>
        <w:t>A</w:t>
      </w:r>
      <w:r>
        <w:rPr>
          <w:rFonts w:ascii="Times New Roman" w:hAnsi="Times New Roman" w:cs="Times New Roman"/>
          <w:vertAlign w:val="subscript"/>
          <w:lang w:bidi="ar"/>
        </w:rPr>
        <w:t>0</w:t>
      </w:r>
      <w:r>
        <w:rPr>
          <w:rFonts w:ascii="Times New Roman" w:hAnsi="Times New Roman" w:cs="Times New Roman"/>
          <w:lang w:bidi="ar"/>
        </w:rPr>
        <w:t>为系数。</w:t>
      </w:r>
    </w:p>
    <w:p w:rsidR="0000699C" w:rsidRDefault="000801E7">
      <w:pPr>
        <w:widowControl w:val="0"/>
        <w:snapToGrid w:val="0"/>
        <w:spacing w:line="276" w:lineRule="auto"/>
        <w:ind w:firstLineChars="200" w:firstLine="480"/>
        <w:jc w:val="both"/>
        <w:textAlignment w:val="baseline"/>
        <w:rPr>
          <w:rFonts w:ascii="Times New Roman" w:hAnsi="Times New Roman" w:cs="Times New Roman"/>
        </w:rPr>
      </w:pPr>
      <w:r>
        <w:rPr>
          <w:rFonts w:ascii="Times New Roman" w:hAnsi="Times New Roman" w:cs="Times New Roman"/>
          <w:lang w:bidi="ar"/>
        </w:rPr>
        <w:t>基于初始低</w:t>
      </w:r>
      <w:r>
        <w:rPr>
          <w:rFonts w:ascii="Times New Roman" w:hAnsi="Times New Roman" w:cs="Times New Roman"/>
          <w:lang w:bidi="ar"/>
        </w:rPr>
        <w:t>Cu</w:t>
      </w:r>
      <w:r>
        <w:rPr>
          <w:rFonts w:ascii="Times New Roman" w:hAnsi="Times New Roman" w:cs="Times New Roman"/>
          <w:lang w:bidi="ar"/>
        </w:rPr>
        <w:t>数据，采用模型</w:t>
      </w:r>
      <w:r>
        <w:rPr>
          <w:rFonts w:ascii="Times New Roman" w:hAnsi="Times New Roman" w:cs="Times New Roman"/>
          <w:lang w:bidi="ar"/>
        </w:rPr>
        <w:t>1</w:t>
      </w:r>
      <w:r>
        <w:rPr>
          <w:rFonts w:ascii="Times New Roman" w:hAnsi="Times New Roman" w:cs="Times New Roman"/>
          <w:lang w:bidi="ar"/>
        </w:rPr>
        <w:t>计算参数</w:t>
      </w:r>
      <w:r>
        <w:rPr>
          <w:rFonts w:ascii="Times New Roman" w:hAnsi="Times New Roman" w:cs="Times New Roman"/>
          <w:lang w:bidi="ar"/>
        </w:rPr>
        <w:t>A</w:t>
      </w:r>
      <w:r>
        <w:rPr>
          <w:rFonts w:ascii="Times New Roman" w:hAnsi="Times New Roman" w:cs="Times New Roman"/>
          <w:vertAlign w:val="subscript"/>
          <w:lang w:bidi="ar"/>
        </w:rPr>
        <w:t>0</w:t>
      </w:r>
      <w:r>
        <w:rPr>
          <w:rFonts w:ascii="Times New Roman" w:hAnsi="Times New Roman" w:cs="Times New Roman"/>
          <w:lang w:bidi="ar"/>
        </w:rPr>
        <w:t>、平均残差随</w:t>
      </w:r>
      <w:r>
        <w:rPr>
          <w:rFonts w:ascii="Times New Roman" w:hAnsi="Times New Roman" w:cs="Times New Roman"/>
          <w:lang w:bidi="ar"/>
        </w:rPr>
        <w:t>Cu</w:t>
      </w:r>
      <w:r>
        <w:rPr>
          <w:rFonts w:ascii="Times New Roman" w:hAnsi="Times New Roman" w:cs="Times New Roman"/>
          <w:lang w:bidi="ar"/>
        </w:rPr>
        <w:t>含量的变化关系，结果如图</w:t>
      </w:r>
      <w:r>
        <w:rPr>
          <w:rFonts w:ascii="Times New Roman" w:hAnsi="Times New Roman" w:cs="Times New Roman"/>
          <w:lang w:bidi="ar"/>
        </w:rPr>
        <w:t>1-2</w:t>
      </w:r>
      <w:r>
        <w:rPr>
          <w:rFonts w:ascii="Times New Roman" w:hAnsi="Times New Roman" w:cs="Times New Roman"/>
          <w:lang w:bidi="ar"/>
        </w:rPr>
        <w:t>所示。结果表明，在</w:t>
      </w:r>
      <w:r>
        <w:rPr>
          <w:rFonts w:ascii="Times New Roman" w:hAnsi="Times New Roman" w:cs="Times New Roman"/>
          <w:lang w:bidi="ar"/>
        </w:rPr>
        <w:t>Cu≤0.072%</w:t>
      </w:r>
      <w:r>
        <w:rPr>
          <w:rFonts w:ascii="Times New Roman" w:hAnsi="Times New Roman" w:cs="Times New Roman"/>
          <w:lang w:bidi="ar"/>
        </w:rPr>
        <w:t>时，依据基本方程（模型</w:t>
      </w:r>
      <w:r>
        <w:rPr>
          <w:rFonts w:ascii="Times New Roman" w:hAnsi="Times New Roman" w:cs="Times New Roman"/>
          <w:lang w:bidi="ar"/>
        </w:rPr>
        <w:t>1</w:t>
      </w:r>
      <w:r>
        <w:rPr>
          <w:rFonts w:ascii="Times New Roman" w:hAnsi="Times New Roman" w:cs="Times New Roman"/>
          <w:lang w:bidi="ar"/>
        </w:rPr>
        <w:t>）获得的参数</w:t>
      </w:r>
      <w:r>
        <w:rPr>
          <w:rFonts w:ascii="Times New Roman" w:hAnsi="Times New Roman" w:cs="Times New Roman"/>
          <w:lang w:bidi="ar"/>
        </w:rPr>
        <w:t>A</w:t>
      </w:r>
      <w:r>
        <w:rPr>
          <w:rFonts w:ascii="Times New Roman" w:hAnsi="Times New Roman" w:cs="Times New Roman"/>
          <w:vertAlign w:val="subscript"/>
          <w:lang w:bidi="ar"/>
        </w:rPr>
        <w:t>0</w:t>
      </w:r>
      <w:r>
        <w:rPr>
          <w:rFonts w:ascii="Times New Roman" w:hAnsi="Times New Roman" w:cs="Times New Roman"/>
          <w:lang w:bidi="ar"/>
        </w:rPr>
        <w:t>和残差均值随</w:t>
      </w:r>
      <w:r>
        <w:rPr>
          <w:rFonts w:ascii="Times New Roman" w:hAnsi="Times New Roman" w:cs="Times New Roman"/>
          <w:lang w:bidi="ar"/>
        </w:rPr>
        <w:t>Cu</w:t>
      </w:r>
      <w:r>
        <w:rPr>
          <w:rFonts w:ascii="Times New Roman" w:hAnsi="Times New Roman" w:cs="Times New Roman"/>
          <w:lang w:bidi="ar"/>
        </w:rPr>
        <w:t>含量增加不产生显著变化，且</w:t>
      </w:r>
      <w:r>
        <w:rPr>
          <w:rFonts w:ascii="Times New Roman" w:hAnsi="Times New Roman" w:cs="Times New Roman"/>
          <w:lang w:bidi="ar"/>
        </w:rPr>
        <w:t>A</w:t>
      </w:r>
      <w:r>
        <w:rPr>
          <w:rFonts w:ascii="Times New Roman" w:hAnsi="Times New Roman" w:cs="Times New Roman"/>
          <w:vertAlign w:val="subscript"/>
          <w:lang w:bidi="ar"/>
        </w:rPr>
        <w:t>0</w:t>
      </w:r>
      <w:r>
        <w:rPr>
          <w:rFonts w:ascii="Times New Roman" w:hAnsi="Times New Roman" w:cs="Times New Roman"/>
          <w:lang w:bidi="ar"/>
        </w:rPr>
        <w:t>=1.954×10</w:t>
      </w:r>
      <w:r>
        <w:rPr>
          <w:rFonts w:ascii="Times New Roman" w:hAnsi="Times New Roman" w:cs="Times New Roman"/>
          <w:vertAlign w:val="superscript"/>
          <w:lang w:bidi="ar"/>
        </w:rPr>
        <w:t>-8</w:t>
      </w:r>
      <w:r>
        <w:rPr>
          <w:rFonts w:ascii="Times New Roman" w:hAnsi="Times New Roman" w:cs="Times New Roman"/>
          <w:lang w:bidi="ar"/>
        </w:rPr>
        <w:t>；在</w:t>
      </w:r>
      <w:r>
        <w:rPr>
          <w:rFonts w:ascii="Times New Roman" w:hAnsi="Times New Roman" w:cs="Times New Roman"/>
          <w:lang w:bidi="ar"/>
        </w:rPr>
        <w:t>Cu</w:t>
      </w:r>
      <w:r>
        <w:rPr>
          <w:rFonts w:ascii="Times New Roman" w:hAnsi="Times New Roman" w:cs="Times New Roman"/>
          <w:lang w:bidi="ar"/>
        </w:rPr>
        <w:t>含量大于</w:t>
      </w:r>
      <w:r>
        <w:rPr>
          <w:rFonts w:ascii="Times New Roman" w:hAnsi="Times New Roman" w:cs="Times New Roman"/>
          <w:lang w:bidi="ar"/>
        </w:rPr>
        <w:t>0.072%</w:t>
      </w:r>
      <w:r>
        <w:rPr>
          <w:rFonts w:ascii="Times New Roman" w:hAnsi="Times New Roman" w:cs="Times New Roman"/>
          <w:lang w:bidi="ar"/>
        </w:rPr>
        <w:t>时，参数</w:t>
      </w:r>
      <w:r>
        <w:rPr>
          <w:rFonts w:ascii="Times New Roman" w:hAnsi="Times New Roman" w:cs="Times New Roman"/>
          <w:lang w:bidi="ar"/>
        </w:rPr>
        <w:t>A</w:t>
      </w:r>
      <w:r>
        <w:rPr>
          <w:rFonts w:ascii="Times New Roman" w:hAnsi="Times New Roman" w:cs="Times New Roman"/>
          <w:vertAlign w:val="subscript"/>
          <w:lang w:bidi="ar"/>
        </w:rPr>
        <w:t>0</w:t>
      </w:r>
      <w:r>
        <w:rPr>
          <w:rFonts w:ascii="Times New Roman" w:hAnsi="Times New Roman" w:cs="Times New Roman"/>
          <w:lang w:bidi="ar"/>
        </w:rPr>
        <w:t>、残差均值随</w:t>
      </w:r>
      <w:r>
        <w:rPr>
          <w:rFonts w:ascii="Times New Roman" w:hAnsi="Times New Roman" w:cs="Times New Roman"/>
          <w:lang w:bidi="ar"/>
        </w:rPr>
        <w:t>Cu</w:t>
      </w:r>
      <w:r>
        <w:rPr>
          <w:rFonts w:ascii="Times New Roman" w:hAnsi="Times New Roman" w:cs="Times New Roman"/>
          <w:lang w:bidi="ar"/>
        </w:rPr>
        <w:t>含量增加呈显著关联，低</w:t>
      </w:r>
      <w:r>
        <w:rPr>
          <w:rFonts w:ascii="Times New Roman" w:hAnsi="Times New Roman" w:cs="Times New Roman"/>
          <w:lang w:bidi="ar"/>
        </w:rPr>
        <w:t>Cu</w:t>
      </w:r>
      <w:r>
        <w:rPr>
          <w:rFonts w:ascii="Times New Roman" w:hAnsi="Times New Roman" w:cs="Times New Roman"/>
          <w:lang w:bidi="ar"/>
        </w:rPr>
        <w:t>数据临界值为</w:t>
      </w:r>
      <w:r>
        <w:rPr>
          <w:rFonts w:ascii="Times New Roman" w:hAnsi="Times New Roman" w:cs="Times New Roman"/>
          <w:lang w:bidi="ar"/>
        </w:rPr>
        <w:t>Cu=0.072%</w:t>
      </w:r>
      <w:r>
        <w:rPr>
          <w:rFonts w:ascii="Times New Roman" w:hAnsi="Times New Roman" w:cs="Times New Roman"/>
          <w:lang w:bidi="ar"/>
        </w:rPr>
        <w:t>。因此，在</w:t>
      </w:r>
      <w:r>
        <w:rPr>
          <w:rFonts w:ascii="Times New Roman" w:hAnsi="Times New Roman" w:cs="Times New Roman"/>
          <w:lang w:bidi="ar"/>
        </w:rPr>
        <w:t>Cu≤0.072%</w:t>
      </w:r>
      <w:r>
        <w:rPr>
          <w:rFonts w:ascii="Times New Roman" w:hAnsi="Times New Roman" w:cs="Times New Roman"/>
          <w:lang w:bidi="ar"/>
        </w:rPr>
        <w:t>时，</w:t>
      </w:r>
      <w:r>
        <w:rPr>
          <w:rFonts w:ascii="Times New Roman" w:hAnsi="Times New Roman" w:cs="Times New Roman"/>
          <w:bCs/>
          <w:kern w:val="24"/>
          <w:lang w:val="el" w:bidi="ar"/>
        </w:rPr>
        <w:t>RPV</w:t>
      </w:r>
      <w:r>
        <w:rPr>
          <w:rFonts w:ascii="Times New Roman" w:hAnsi="Times New Roman" w:cs="Times New Roman"/>
          <w:bCs/>
          <w:kern w:val="24"/>
          <w:lang w:val="el" w:bidi="ar"/>
        </w:rPr>
        <w:t>钢辐照脆化与</w:t>
      </w:r>
      <w:r>
        <w:rPr>
          <w:rFonts w:ascii="Times New Roman" w:hAnsi="Times New Roman" w:cs="Times New Roman"/>
          <w:bCs/>
          <w:kern w:val="24"/>
          <w:lang w:val="el" w:bidi="ar"/>
        </w:rPr>
        <w:t>Cu</w:t>
      </w:r>
      <w:r>
        <w:rPr>
          <w:rFonts w:ascii="Times New Roman" w:hAnsi="Times New Roman" w:cs="Times New Roman"/>
          <w:bCs/>
          <w:kern w:val="24"/>
          <w:lang w:val="el" w:bidi="ar"/>
        </w:rPr>
        <w:t>无关，</w:t>
      </w:r>
      <w:r>
        <w:rPr>
          <w:rFonts w:ascii="Times New Roman" w:hAnsi="Times New Roman" w:cs="Times New Roman"/>
          <w:bCs/>
          <w:kern w:val="24"/>
          <w:lang w:bidi="ar"/>
        </w:rPr>
        <w:t>低</w:t>
      </w:r>
      <w:r>
        <w:rPr>
          <w:rFonts w:ascii="Times New Roman" w:hAnsi="Times New Roman" w:cs="Times New Roman"/>
          <w:bCs/>
          <w:kern w:val="24"/>
          <w:lang w:bidi="ar"/>
        </w:rPr>
        <w:t>Cu RPV</w:t>
      </w:r>
      <w:r>
        <w:rPr>
          <w:rFonts w:ascii="Times New Roman" w:hAnsi="Times New Roman" w:cs="Times New Roman"/>
          <w:bCs/>
          <w:kern w:val="24"/>
          <w:lang w:bidi="ar"/>
        </w:rPr>
        <w:t>辐照脆化</w:t>
      </w:r>
      <w:r>
        <w:rPr>
          <w:rFonts w:ascii="Times New Roman" w:hAnsi="Times New Roman" w:cs="Times New Roman"/>
          <w:lang w:bidi="ar"/>
        </w:rPr>
        <w:t>基本模型为：</w:t>
      </w:r>
    </w:p>
    <w:p w:rsidR="0000699C" w:rsidRDefault="000801E7">
      <w:pPr>
        <w:widowControl w:val="0"/>
        <w:spacing w:line="276" w:lineRule="auto"/>
        <w:ind w:firstLineChars="200" w:firstLine="480"/>
        <w:jc w:val="center"/>
        <w:rPr>
          <w:rFonts w:ascii="Times New Roman" w:hAnsi="Times New Roman" w:cs="Times New Roman"/>
          <w:lang w:bidi="ar"/>
        </w:rPr>
      </w:pPr>
      <w:r>
        <w:rPr>
          <w:rFonts w:ascii="Times New Roman" w:hAnsi="Times New Roman" w:cs="Times New Roman"/>
          <w:kern w:val="0"/>
          <w:lang w:bidi="ar"/>
        </w:rPr>
        <w:t>ΔRT</w:t>
      </w:r>
      <w:r>
        <w:rPr>
          <w:rFonts w:ascii="Times New Roman" w:hAnsi="Times New Roman" w:cs="Times New Roman"/>
          <w:kern w:val="0"/>
          <w:vertAlign w:val="subscript"/>
          <w:lang w:bidi="ar"/>
        </w:rPr>
        <w:t>NDT</w:t>
      </w:r>
      <w:r>
        <w:rPr>
          <w:rFonts w:ascii="Times New Roman" w:hAnsi="Times New Roman" w:cs="Times New Roman"/>
          <w:bCs/>
          <w:kern w:val="24"/>
          <w:lang w:bidi="ar"/>
        </w:rPr>
        <w:t>=1.954×10</w:t>
      </w:r>
      <w:r>
        <w:rPr>
          <w:rFonts w:ascii="Times New Roman" w:hAnsi="Times New Roman" w:cs="Times New Roman"/>
          <w:bCs/>
          <w:kern w:val="24"/>
          <w:vertAlign w:val="superscript"/>
          <w:lang w:bidi="ar"/>
        </w:rPr>
        <w:t>-8</w:t>
      </w:r>
      <w:r>
        <w:rPr>
          <w:rFonts w:ascii="Times New Roman" w:hAnsi="Times New Roman" w:cs="Times New Roman"/>
          <w:bCs/>
          <w:kern w:val="24"/>
          <w:lang w:bidi="ar"/>
        </w:rPr>
        <w:t>(1-0.002545T)·f</w:t>
      </w:r>
      <w:r>
        <w:rPr>
          <w:rFonts w:ascii="Times New Roman" w:hAnsi="Times New Roman" w:cs="Times New Roman"/>
          <w:bCs/>
          <w:kern w:val="24"/>
          <w:vertAlign w:val="superscript"/>
          <w:lang w:bidi="ar"/>
        </w:rPr>
        <w:t>0.5</w:t>
      </w:r>
      <w:r>
        <w:rPr>
          <w:rFonts w:ascii="Times New Roman" w:hAnsi="Times New Roman" w:cs="Times New Roman"/>
          <w:lang w:bidi="ar"/>
        </w:rPr>
        <w:t xml:space="preserve">              </w:t>
      </w:r>
      <w:r>
        <w:rPr>
          <w:rFonts w:ascii="Times New Roman" w:hAnsi="Times New Roman" w:cs="Times New Roman"/>
          <w:lang w:bidi="ar"/>
        </w:rPr>
        <w:t>（公式</w:t>
      </w:r>
      <w:r>
        <w:rPr>
          <w:rFonts w:ascii="Times New Roman" w:hAnsi="Times New Roman" w:cs="Times New Roman"/>
          <w:lang w:bidi="ar"/>
        </w:rPr>
        <w:t>2</w:t>
      </w:r>
      <w:r>
        <w:rPr>
          <w:rFonts w:ascii="Times New Roman" w:hAnsi="Times New Roman" w:cs="Times New Roman"/>
          <w:lang w:bidi="ar"/>
        </w:rPr>
        <w:t>）</w:t>
      </w:r>
    </w:p>
    <w:p w:rsidR="0000699C" w:rsidRDefault="0000699C">
      <w:pPr>
        <w:widowControl w:val="0"/>
        <w:spacing w:line="276" w:lineRule="auto"/>
        <w:ind w:firstLineChars="200" w:firstLine="480"/>
        <w:jc w:val="center"/>
        <w:rPr>
          <w:rFonts w:ascii="Times New Roman" w:hAnsi="Times New Roman" w:cs="Times New Roman"/>
          <w:lang w:bidi="ar"/>
        </w:rPr>
      </w:pPr>
    </w:p>
    <w:p w:rsidR="0000699C" w:rsidRDefault="000801E7">
      <w:pPr>
        <w:widowControl w:val="0"/>
        <w:spacing w:line="276" w:lineRule="auto"/>
        <w:jc w:val="center"/>
        <w:rPr>
          <w:rFonts w:ascii="Times New Roman" w:hAnsi="Times New Roman" w:cs="Times New Roman"/>
        </w:rPr>
      </w:pPr>
      <w:r>
        <w:rPr>
          <w:rFonts w:ascii="Times New Roman" w:hAnsi="Times New Roman" w:cs="Times New Roman"/>
          <w:noProof/>
        </w:rPr>
        <w:drawing>
          <wp:inline distT="0" distB="0" distL="114300" distR="114300">
            <wp:extent cx="2429510" cy="1736725"/>
            <wp:effectExtent l="0" t="0" r="0" b="15875"/>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pic:cNvPicPr>
                      <a:picLocks noChangeAspect="1"/>
                    </pic:cNvPicPr>
                  </pic:nvPicPr>
                  <pic:blipFill>
                    <a:blip r:embed="rId9"/>
                    <a:srcRect l="5904" t="8170" r="11243" b="7080"/>
                    <a:stretch>
                      <a:fillRect/>
                    </a:stretch>
                  </pic:blipFill>
                  <pic:spPr>
                    <a:xfrm>
                      <a:off x="0" y="0"/>
                      <a:ext cx="2429510" cy="17367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322830" cy="1739900"/>
            <wp:effectExtent l="0" t="0" r="1270" b="12700"/>
            <wp:docPr id="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4"/>
                    <pic:cNvPicPr>
                      <a:picLocks noChangeAspect="1"/>
                    </pic:cNvPicPr>
                  </pic:nvPicPr>
                  <pic:blipFill>
                    <a:blip r:embed="rId10"/>
                    <a:srcRect l="7826" t="8170" r="11823" b="5991"/>
                    <a:stretch>
                      <a:fillRect/>
                    </a:stretch>
                  </pic:blipFill>
                  <pic:spPr>
                    <a:xfrm>
                      <a:off x="0" y="0"/>
                      <a:ext cx="2322830" cy="1739900"/>
                    </a:xfrm>
                    <a:prstGeom prst="rect">
                      <a:avLst/>
                    </a:prstGeom>
                    <a:noFill/>
                    <a:ln>
                      <a:noFill/>
                    </a:ln>
                  </pic:spPr>
                </pic:pic>
              </a:graphicData>
            </a:graphic>
          </wp:inline>
        </w:drawing>
      </w:r>
    </w:p>
    <w:p w:rsidR="0000699C" w:rsidRDefault="0000699C">
      <w:pPr>
        <w:widowControl w:val="0"/>
        <w:spacing w:line="276" w:lineRule="auto"/>
        <w:jc w:val="both"/>
        <w:rPr>
          <w:rFonts w:ascii="Times New Roman" w:hAnsi="Times New Roman" w:cs="Times New Roman"/>
        </w:rPr>
      </w:pPr>
    </w:p>
    <w:p w:rsidR="0000699C" w:rsidRDefault="000801E7">
      <w:pPr>
        <w:widowControl w:val="0"/>
        <w:spacing w:line="276" w:lineRule="auto"/>
        <w:jc w:val="center"/>
        <w:rPr>
          <w:rFonts w:ascii="Times New Roman" w:hAnsi="Times New Roman" w:cs="Times New Roman"/>
          <w:bCs/>
          <w:lang w:bidi="ar"/>
        </w:rPr>
      </w:pPr>
      <w:r>
        <w:rPr>
          <w:rFonts w:ascii="Times New Roman" w:hAnsi="Times New Roman" w:cs="Times New Roman"/>
          <w:bCs/>
          <w:lang w:bidi="ar"/>
        </w:rPr>
        <w:t>图</w:t>
      </w:r>
      <w:r>
        <w:rPr>
          <w:rFonts w:ascii="Times New Roman" w:hAnsi="Times New Roman" w:cs="Times New Roman"/>
          <w:bCs/>
          <w:lang w:bidi="ar"/>
        </w:rPr>
        <w:t xml:space="preserve">1-2 </w:t>
      </w:r>
      <w:r>
        <w:rPr>
          <w:rFonts w:ascii="Times New Roman" w:hAnsi="Times New Roman" w:cs="Times New Roman"/>
          <w:bCs/>
          <w:lang w:bidi="ar"/>
        </w:rPr>
        <w:t>采用基本模型计算获得的参数</w:t>
      </w:r>
      <w:r>
        <w:rPr>
          <w:rFonts w:ascii="Times New Roman" w:hAnsi="Times New Roman" w:cs="Times New Roman"/>
          <w:bCs/>
          <w:lang w:bidi="ar"/>
        </w:rPr>
        <w:t>A</w:t>
      </w:r>
      <w:r>
        <w:rPr>
          <w:rFonts w:ascii="Times New Roman" w:hAnsi="Times New Roman" w:cs="Times New Roman"/>
          <w:bCs/>
          <w:vertAlign w:val="subscript"/>
          <w:lang w:bidi="ar"/>
        </w:rPr>
        <w:t>0</w:t>
      </w:r>
      <w:r>
        <w:rPr>
          <w:rFonts w:ascii="Times New Roman" w:hAnsi="Times New Roman" w:cs="Times New Roman"/>
          <w:bCs/>
          <w:lang w:bidi="ar"/>
        </w:rPr>
        <w:t>与平均残差随平均</w:t>
      </w:r>
      <w:r>
        <w:rPr>
          <w:rFonts w:ascii="Times New Roman" w:hAnsi="Times New Roman" w:cs="Times New Roman"/>
          <w:bCs/>
          <w:lang w:bidi="ar"/>
        </w:rPr>
        <w:t>Cu</w:t>
      </w:r>
      <w:r>
        <w:rPr>
          <w:rFonts w:ascii="Times New Roman" w:hAnsi="Times New Roman" w:cs="Times New Roman"/>
          <w:bCs/>
          <w:lang w:bidi="ar"/>
        </w:rPr>
        <w:t>含量的变化关系</w:t>
      </w:r>
    </w:p>
    <w:p w:rsidR="0000699C" w:rsidRDefault="0000699C">
      <w:pPr>
        <w:widowControl w:val="0"/>
        <w:spacing w:line="276" w:lineRule="auto"/>
        <w:jc w:val="center"/>
        <w:rPr>
          <w:rFonts w:ascii="Times New Roman" w:hAnsi="Times New Roman" w:cs="Times New Roman"/>
          <w:b/>
          <w:lang w:bidi="ar"/>
        </w:rPr>
      </w:pPr>
    </w:p>
    <w:p w:rsidR="0000699C" w:rsidRDefault="000801E7">
      <w:pPr>
        <w:widowControl w:val="0"/>
        <w:ind w:firstLineChars="200" w:firstLine="480"/>
        <w:jc w:val="both"/>
        <w:rPr>
          <w:rFonts w:ascii="Times New Roman" w:hAnsi="Times New Roman" w:cs="Times New Roman"/>
        </w:rPr>
      </w:pPr>
      <w:r>
        <w:rPr>
          <w:rFonts w:ascii="Times New Roman" w:hAnsi="Times New Roman" w:cs="Times New Roman"/>
          <w:lang w:bidi="ar"/>
        </w:rPr>
        <w:t>基于</w:t>
      </w:r>
      <w:r>
        <w:rPr>
          <w:rFonts w:ascii="Times New Roman" w:hAnsi="Times New Roman" w:cs="Times New Roman"/>
          <w:lang w:bidi="ar"/>
        </w:rPr>
        <w:t>低</w:t>
      </w:r>
      <w:r>
        <w:rPr>
          <w:rFonts w:ascii="Times New Roman" w:hAnsi="Times New Roman" w:cs="Times New Roman"/>
          <w:lang w:bidi="ar"/>
        </w:rPr>
        <w:t>Cu</w:t>
      </w:r>
      <w:r>
        <w:rPr>
          <w:rFonts w:ascii="Times New Roman" w:hAnsi="Times New Roman" w:cs="Times New Roman"/>
          <w:lang w:bidi="ar"/>
        </w:rPr>
        <w:t>数据临界值为</w:t>
      </w:r>
      <w:r>
        <w:rPr>
          <w:rFonts w:ascii="Times New Roman" w:hAnsi="Times New Roman" w:cs="Times New Roman"/>
          <w:lang w:bidi="ar"/>
        </w:rPr>
        <w:t>Cu=0.072%</w:t>
      </w:r>
      <w:r>
        <w:rPr>
          <w:rFonts w:ascii="Times New Roman" w:hAnsi="Times New Roman" w:cs="Times New Roman"/>
          <w:lang w:bidi="ar"/>
        </w:rPr>
        <w:t>确定低</w:t>
      </w:r>
      <w:r>
        <w:rPr>
          <w:rFonts w:ascii="Times New Roman" w:hAnsi="Times New Roman" w:cs="Times New Roman"/>
          <w:lang w:bidi="ar"/>
        </w:rPr>
        <w:t>Cu RPV</w:t>
      </w:r>
      <w:r>
        <w:rPr>
          <w:rFonts w:ascii="Times New Roman" w:hAnsi="Times New Roman" w:cs="Times New Roman"/>
          <w:lang w:bidi="ar"/>
        </w:rPr>
        <w:t>辐照脆化数据（</w:t>
      </w:r>
      <w:r>
        <w:rPr>
          <w:rFonts w:ascii="Times New Roman" w:hAnsi="Times New Roman" w:cs="Times New Roman"/>
          <w:lang w:bidi="ar"/>
        </w:rPr>
        <w:t>Cu≤0.072%</w:t>
      </w:r>
      <w:r>
        <w:rPr>
          <w:rFonts w:ascii="Times New Roman" w:hAnsi="Times New Roman" w:cs="Times New Roman"/>
          <w:lang w:bidi="ar"/>
        </w:rPr>
        <w:t>）（附图</w:t>
      </w:r>
      <w:r>
        <w:rPr>
          <w:rFonts w:ascii="Times New Roman" w:hAnsi="Times New Roman" w:cs="Times New Roman"/>
          <w:lang w:bidi="ar"/>
        </w:rPr>
        <w:t>1-3</w:t>
      </w:r>
      <w:r>
        <w:rPr>
          <w:rFonts w:ascii="Times New Roman" w:hAnsi="Times New Roman" w:cs="Times New Roman"/>
          <w:lang w:bidi="ar"/>
        </w:rPr>
        <w:t>）。后续低</w:t>
      </w:r>
      <w:r>
        <w:rPr>
          <w:rFonts w:ascii="Times New Roman" w:hAnsi="Times New Roman" w:cs="Times New Roman"/>
          <w:lang w:bidi="ar"/>
        </w:rPr>
        <w:t>Cu RPV</w:t>
      </w:r>
      <w:r>
        <w:rPr>
          <w:rFonts w:ascii="Times New Roman" w:hAnsi="Times New Roman" w:cs="Times New Roman"/>
          <w:lang w:bidi="ar"/>
        </w:rPr>
        <w:t>钢辐照脆化预测模型的开发基于附图</w:t>
      </w:r>
      <w:r>
        <w:rPr>
          <w:rFonts w:ascii="Times New Roman" w:hAnsi="Times New Roman" w:cs="Times New Roman"/>
          <w:lang w:bidi="ar"/>
        </w:rPr>
        <w:t>1-3</w:t>
      </w:r>
      <w:r>
        <w:rPr>
          <w:rFonts w:ascii="Times New Roman" w:hAnsi="Times New Roman" w:cs="Times New Roman"/>
          <w:lang w:bidi="ar"/>
        </w:rPr>
        <w:t>的数据开发。</w:t>
      </w:r>
    </w:p>
    <w:p w:rsidR="0000699C" w:rsidRDefault="000801E7">
      <w:pPr>
        <w:widowControl w:val="0"/>
        <w:spacing w:line="276" w:lineRule="auto"/>
        <w:jc w:val="center"/>
        <w:rPr>
          <w:rFonts w:ascii="Times New Roman" w:hAnsi="Times New Roman" w:cs="Times New Roman"/>
        </w:rPr>
      </w:pPr>
      <w:r>
        <w:rPr>
          <w:rFonts w:ascii="Times New Roman" w:hAnsi="Times New Roman" w:cs="Times New Roman"/>
          <w:noProof/>
        </w:rPr>
        <w:lastRenderedPageBreak/>
        <w:drawing>
          <wp:inline distT="0" distB="0" distL="114300" distR="114300">
            <wp:extent cx="2893695" cy="2195830"/>
            <wp:effectExtent l="0" t="0" r="1905" b="1397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pic:cNvPicPr>
                      <a:picLocks noChangeAspect="1"/>
                    </pic:cNvPicPr>
                  </pic:nvPicPr>
                  <pic:blipFill>
                    <a:blip r:embed="rId11"/>
                    <a:srcRect l="9228" t="9331" r="11493" b="4161"/>
                    <a:stretch>
                      <a:fillRect/>
                    </a:stretch>
                  </pic:blipFill>
                  <pic:spPr>
                    <a:xfrm>
                      <a:off x="0" y="0"/>
                      <a:ext cx="2893695" cy="2195830"/>
                    </a:xfrm>
                    <a:prstGeom prst="rect">
                      <a:avLst/>
                    </a:prstGeom>
                    <a:noFill/>
                    <a:ln>
                      <a:noFill/>
                    </a:ln>
                  </pic:spPr>
                </pic:pic>
              </a:graphicData>
            </a:graphic>
          </wp:inline>
        </w:drawing>
      </w:r>
    </w:p>
    <w:p w:rsidR="0000699C" w:rsidRDefault="000801E7">
      <w:pPr>
        <w:widowControl w:val="0"/>
        <w:spacing w:line="276" w:lineRule="auto"/>
        <w:jc w:val="center"/>
        <w:rPr>
          <w:rFonts w:ascii="Times New Roman" w:hAnsi="Times New Roman" w:cs="Times New Roman"/>
          <w:bCs/>
        </w:rPr>
      </w:pPr>
      <w:r>
        <w:rPr>
          <w:rFonts w:ascii="Times New Roman" w:hAnsi="Times New Roman" w:cs="Times New Roman"/>
          <w:bCs/>
          <w:lang w:bidi="ar"/>
        </w:rPr>
        <w:t>附图</w:t>
      </w:r>
      <w:r>
        <w:rPr>
          <w:rFonts w:ascii="Times New Roman" w:hAnsi="Times New Roman" w:cs="Times New Roman"/>
          <w:bCs/>
          <w:lang w:bidi="ar"/>
        </w:rPr>
        <w:t xml:space="preserve">1-3 </w:t>
      </w:r>
      <w:r>
        <w:rPr>
          <w:rFonts w:ascii="Times New Roman" w:hAnsi="Times New Roman" w:cs="Times New Roman"/>
          <w:bCs/>
          <w:color w:val="000000"/>
          <w:kern w:val="24"/>
          <w:lang w:bidi="ar"/>
        </w:rPr>
        <w:t>低</w:t>
      </w:r>
      <w:r>
        <w:rPr>
          <w:rFonts w:ascii="Times New Roman" w:hAnsi="Times New Roman" w:cs="Times New Roman"/>
          <w:bCs/>
          <w:color w:val="000000"/>
          <w:kern w:val="24"/>
          <w:lang w:bidi="ar"/>
        </w:rPr>
        <w:t>Cu RPV</w:t>
      </w:r>
      <w:r>
        <w:rPr>
          <w:rFonts w:ascii="Times New Roman" w:hAnsi="Times New Roman" w:cs="Times New Roman"/>
          <w:bCs/>
          <w:color w:val="000000"/>
          <w:kern w:val="24"/>
          <w:lang w:bidi="ar"/>
        </w:rPr>
        <w:t>辐照脆化数据（</w:t>
      </w:r>
      <w:r>
        <w:rPr>
          <w:rFonts w:ascii="Times New Roman" w:hAnsi="Times New Roman" w:cs="Times New Roman"/>
          <w:bCs/>
          <w:color w:val="000000"/>
          <w:kern w:val="24"/>
          <w:lang w:bidi="ar"/>
        </w:rPr>
        <w:t>Cu≤0.072%</w:t>
      </w:r>
      <w:r>
        <w:rPr>
          <w:rFonts w:ascii="Times New Roman" w:hAnsi="Times New Roman" w:cs="Times New Roman"/>
          <w:bCs/>
          <w:color w:val="000000"/>
          <w:kern w:val="24"/>
          <w:lang w:bidi="ar"/>
        </w:rPr>
        <w:t>）</w:t>
      </w:r>
    </w:p>
    <w:p w:rsidR="0000699C" w:rsidRDefault="0000699C">
      <w:pPr>
        <w:widowControl w:val="0"/>
        <w:spacing w:line="276" w:lineRule="auto"/>
        <w:ind w:firstLineChars="200" w:firstLine="480"/>
        <w:jc w:val="both"/>
        <w:rPr>
          <w:rFonts w:ascii="Times New Roman" w:hAnsi="Times New Roman" w:cs="Times New Roman"/>
        </w:rPr>
      </w:pPr>
    </w:p>
    <w:p w:rsidR="0000699C" w:rsidRDefault="000801E7">
      <w:pPr>
        <w:widowControl w:val="0"/>
        <w:spacing w:line="276" w:lineRule="auto"/>
        <w:ind w:firstLineChars="200" w:firstLine="480"/>
        <w:jc w:val="both"/>
        <w:rPr>
          <w:rFonts w:ascii="Times New Roman" w:hAnsi="Times New Roman" w:cs="Times New Roman"/>
        </w:rPr>
      </w:pPr>
      <w:r>
        <w:rPr>
          <w:rFonts w:ascii="Times New Roman" w:hAnsi="Times New Roman" w:cs="Times New Roman"/>
          <w:lang w:bidi="ar"/>
        </w:rPr>
        <w:t>基于附图</w:t>
      </w:r>
      <w:r>
        <w:rPr>
          <w:rFonts w:ascii="Times New Roman" w:hAnsi="Times New Roman" w:cs="Times New Roman"/>
          <w:lang w:bidi="ar"/>
        </w:rPr>
        <w:t>1-3</w:t>
      </w:r>
      <w:r>
        <w:rPr>
          <w:rFonts w:ascii="Times New Roman" w:hAnsi="Times New Roman" w:cs="Times New Roman"/>
          <w:lang w:bidi="ar"/>
        </w:rPr>
        <w:t>数据进行</w:t>
      </w:r>
      <w:r>
        <w:rPr>
          <w:rFonts w:ascii="Times New Roman" w:hAnsi="Times New Roman" w:cs="Times New Roman"/>
          <w:lang w:bidi="ar"/>
        </w:rPr>
        <w:t>R</w:t>
      </w:r>
      <w:r>
        <w:rPr>
          <w:rFonts w:ascii="Times New Roman" w:hAnsi="Times New Roman" w:cs="Times New Roman"/>
          <w:lang w:bidi="ar"/>
        </w:rPr>
        <w:t>分析，结果表明残差曲线随辐照脆化影响因素的变化曲线的偏差不满足＜</w:t>
      </w:r>
      <w:r>
        <w:rPr>
          <w:rFonts w:ascii="Times New Roman" w:hAnsi="Times New Roman" w:cs="Times New Roman"/>
          <w:lang w:bidi="ar"/>
        </w:rPr>
        <w:t>1.5℃</w:t>
      </w:r>
      <w:r>
        <w:rPr>
          <w:rFonts w:ascii="Times New Roman" w:hAnsi="Times New Roman" w:cs="Times New Roman"/>
          <w:lang w:bidi="ar"/>
        </w:rPr>
        <w:t>的要求。根据当前辐照脆化机制对于后期激增项</w:t>
      </w:r>
      <w:r>
        <w:rPr>
          <w:rFonts w:ascii="Times New Roman" w:hAnsi="Times New Roman" w:cs="Times New Roman"/>
          <w:lang w:bidi="ar"/>
        </w:rPr>
        <w:t>Mn-Ni-Si</w:t>
      </w:r>
      <w:r>
        <w:rPr>
          <w:rFonts w:ascii="Times New Roman" w:hAnsi="Times New Roman" w:cs="Times New Roman"/>
          <w:lang w:bidi="ar"/>
        </w:rPr>
        <w:t>的认知，引入</w:t>
      </w:r>
      <w:r>
        <w:rPr>
          <w:rFonts w:ascii="Times New Roman" w:hAnsi="Times New Roman" w:cs="Times New Roman"/>
          <w:lang w:bidi="ar"/>
        </w:rPr>
        <w:t>Mn</w:t>
      </w:r>
      <w:r>
        <w:rPr>
          <w:rFonts w:ascii="Times New Roman" w:hAnsi="Times New Roman" w:cs="Times New Roman"/>
          <w:lang w:bidi="ar"/>
        </w:rPr>
        <w:t>、</w:t>
      </w:r>
      <w:r>
        <w:rPr>
          <w:rFonts w:ascii="Times New Roman" w:hAnsi="Times New Roman" w:cs="Times New Roman"/>
          <w:lang w:bidi="ar"/>
        </w:rPr>
        <w:t>Ni</w:t>
      </w:r>
      <w:r>
        <w:rPr>
          <w:rFonts w:ascii="Times New Roman" w:hAnsi="Times New Roman" w:cs="Times New Roman"/>
          <w:lang w:bidi="ar"/>
        </w:rPr>
        <w:t>、</w:t>
      </w:r>
      <w:r>
        <w:rPr>
          <w:rFonts w:ascii="Times New Roman" w:hAnsi="Times New Roman" w:cs="Times New Roman"/>
          <w:lang w:bidi="ar"/>
        </w:rPr>
        <w:t>Si</w:t>
      </w:r>
      <w:r>
        <w:rPr>
          <w:rFonts w:ascii="Times New Roman" w:hAnsi="Times New Roman" w:cs="Times New Roman"/>
          <w:lang w:bidi="ar"/>
        </w:rPr>
        <w:t>元素对辐照脆化的影响，建立待开发的辐照脆化预测模型：</w:t>
      </w:r>
    </w:p>
    <w:p w:rsidR="0000699C" w:rsidRDefault="000801E7">
      <w:pPr>
        <w:widowControl w:val="0"/>
        <w:spacing w:line="276" w:lineRule="auto"/>
        <w:ind w:firstLineChars="200" w:firstLine="480"/>
        <w:jc w:val="center"/>
        <w:rPr>
          <w:rFonts w:ascii="Times New Roman" w:hAnsi="Times New Roman" w:cs="Times New Roman"/>
        </w:rPr>
      </w:pPr>
      <w:r>
        <w:rPr>
          <w:rFonts w:ascii="Times New Roman" w:hAnsi="Times New Roman" w:cs="Times New Roman"/>
          <w:lang w:bidi="ar"/>
        </w:rPr>
        <w:t>ΔRT</w:t>
      </w:r>
      <w:r>
        <w:rPr>
          <w:rFonts w:ascii="Times New Roman" w:hAnsi="Times New Roman" w:cs="Times New Roman"/>
          <w:vertAlign w:val="subscript"/>
          <w:lang w:bidi="ar"/>
        </w:rPr>
        <w:t>NDT</w:t>
      </w:r>
      <w:r>
        <w:rPr>
          <w:rFonts w:ascii="Times New Roman" w:hAnsi="Times New Roman" w:cs="Times New Roman"/>
          <w:lang w:bidi="ar"/>
        </w:rPr>
        <w:t>=1.954×10</w:t>
      </w:r>
      <w:r>
        <w:rPr>
          <w:rFonts w:ascii="Times New Roman" w:hAnsi="Times New Roman" w:cs="Times New Roman"/>
          <w:vertAlign w:val="superscript"/>
          <w:lang w:bidi="ar"/>
        </w:rPr>
        <w:t>-8</w:t>
      </w:r>
      <w:r>
        <w:rPr>
          <w:rFonts w:ascii="Times New Roman" w:hAnsi="Times New Roman" w:cs="Times New Roman"/>
          <w:lang w:bidi="ar"/>
        </w:rPr>
        <w:t>(1-0.002545T)f</w:t>
      </w:r>
      <w:r>
        <w:rPr>
          <w:rFonts w:ascii="Times New Roman" w:hAnsi="Times New Roman" w:cs="Times New Roman"/>
          <w:vertAlign w:val="superscript"/>
          <w:lang w:bidi="ar"/>
        </w:rPr>
        <w:t>0.5</w:t>
      </w:r>
      <w:r>
        <w:rPr>
          <w:rFonts w:ascii="Times New Roman" w:hAnsi="Times New Roman" w:cs="Times New Roman"/>
          <w:lang w:bidi="ar"/>
        </w:rPr>
        <w:t>(1+B·Mn</w:t>
      </w:r>
      <w:r>
        <w:rPr>
          <w:rFonts w:ascii="Times New Roman" w:hAnsi="Times New Roman" w:cs="Times New Roman"/>
          <w:vertAlign w:val="superscript"/>
          <w:lang w:bidi="ar"/>
        </w:rPr>
        <w:t>x</w:t>
      </w:r>
      <w:r>
        <w:rPr>
          <w:rFonts w:ascii="Times New Roman" w:hAnsi="Times New Roman" w:cs="Times New Roman"/>
          <w:lang w:bidi="ar"/>
        </w:rPr>
        <w:t>Ni</w:t>
      </w:r>
      <w:r>
        <w:rPr>
          <w:rFonts w:ascii="Times New Roman" w:hAnsi="Times New Roman" w:cs="Times New Roman"/>
          <w:vertAlign w:val="superscript"/>
          <w:lang w:bidi="ar"/>
        </w:rPr>
        <w:t>y</w:t>
      </w:r>
      <w:r>
        <w:rPr>
          <w:rFonts w:ascii="Times New Roman" w:hAnsi="Times New Roman" w:cs="Times New Roman"/>
          <w:lang w:bidi="ar"/>
        </w:rPr>
        <w:t>Si</w:t>
      </w:r>
      <w:r>
        <w:rPr>
          <w:rFonts w:ascii="Times New Roman" w:hAnsi="Times New Roman" w:cs="Times New Roman"/>
          <w:vertAlign w:val="superscript"/>
          <w:lang w:bidi="ar"/>
        </w:rPr>
        <w:t>z</w:t>
      </w:r>
      <w:r>
        <w:rPr>
          <w:rFonts w:ascii="Times New Roman" w:hAnsi="Times New Roman" w:cs="Times New Roman"/>
          <w:lang w:bidi="ar"/>
        </w:rPr>
        <w:t xml:space="preserve">)         </w:t>
      </w:r>
      <w:r>
        <w:rPr>
          <w:rFonts w:ascii="Times New Roman" w:hAnsi="Times New Roman" w:cs="Times New Roman"/>
          <w:lang w:bidi="ar"/>
        </w:rPr>
        <w:t>（公式</w:t>
      </w:r>
      <w:r>
        <w:rPr>
          <w:rFonts w:ascii="Times New Roman" w:hAnsi="Times New Roman" w:cs="Times New Roman"/>
          <w:lang w:bidi="ar"/>
        </w:rPr>
        <w:t>3</w:t>
      </w:r>
      <w:r>
        <w:rPr>
          <w:rFonts w:ascii="Times New Roman" w:hAnsi="Times New Roman" w:cs="Times New Roman"/>
          <w:lang w:bidi="ar"/>
        </w:rPr>
        <w:t>）</w:t>
      </w:r>
    </w:p>
    <w:p w:rsidR="0000699C" w:rsidRDefault="000801E7">
      <w:pPr>
        <w:widowControl w:val="0"/>
        <w:spacing w:line="276" w:lineRule="auto"/>
        <w:jc w:val="both"/>
        <w:rPr>
          <w:rFonts w:ascii="Times New Roman" w:hAnsi="Times New Roman" w:cs="Times New Roman"/>
        </w:rPr>
      </w:pPr>
      <w:r>
        <w:rPr>
          <w:rFonts w:ascii="Times New Roman" w:hAnsi="Times New Roman" w:cs="Times New Roman"/>
          <w:lang w:bidi="ar"/>
        </w:rPr>
        <w:t>其中，</w:t>
      </w:r>
      <w:r>
        <w:rPr>
          <w:rFonts w:ascii="Times New Roman" w:hAnsi="Times New Roman" w:cs="Times New Roman"/>
          <w:lang w:bidi="ar"/>
        </w:rPr>
        <w:t>Mn</w:t>
      </w:r>
      <w:r>
        <w:rPr>
          <w:rFonts w:ascii="Times New Roman" w:hAnsi="Times New Roman" w:cs="Times New Roman"/>
          <w:lang w:bidi="ar"/>
        </w:rPr>
        <w:t>、</w:t>
      </w:r>
      <w:r>
        <w:rPr>
          <w:rFonts w:ascii="Times New Roman" w:hAnsi="Times New Roman" w:cs="Times New Roman"/>
          <w:lang w:bidi="ar"/>
        </w:rPr>
        <w:t>Ni</w:t>
      </w:r>
      <w:r>
        <w:rPr>
          <w:rFonts w:ascii="Times New Roman" w:hAnsi="Times New Roman" w:cs="Times New Roman"/>
          <w:lang w:bidi="ar"/>
        </w:rPr>
        <w:t>、</w:t>
      </w:r>
      <w:r>
        <w:rPr>
          <w:rFonts w:ascii="Times New Roman" w:hAnsi="Times New Roman" w:cs="Times New Roman"/>
          <w:lang w:bidi="ar"/>
        </w:rPr>
        <w:t>Si</w:t>
      </w:r>
      <w:r>
        <w:rPr>
          <w:rFonts w:ascii="Times New Roman" w:hAnsi="Times New Roman" w:cs="Times New Roman"/>
          <w:lang w:bidi="ar"/>
        </w:rPr>
        <w:t>为该元素的含量，单位为</w:t>
      </w:r>
      <w:r>
        <w:rPr>
          <w:rFonts w:ascii="Times New Roman" w:hAnsi="Times New Roman" w:cs="Times New Roman"/>
          <w:bCs/>
          <w:kern w:val="24"/>
          <w:lang w:bidi="ar"/>
        </w:rPr>
        <w:t>wt.%</w:t>
      </w:r>
      <w:r>
        <w:rPr>
          <w:rFonts w:ascii="Times New Roman" w:hAnsi="Times New Roman" w:cs="Times New Roman"/>
          <w:bCs/>
          <w:kern w:val="24"/>
          <w:lang w:bidi="ar"/>
        </w:rPr>
        <w:t>，</w:t>
      </w:r>
      <w:r>
        <w:rPr>
          <w:rFonts w:ascii="Times New Roman" w:hAnsi="Times New Roman" w:cs="Times New Roman"/>
          <w:bCs/>
          <w:kern w:val="24"/>
          <w:lang w:bidi="ar"/>
        </w:rPr>
        <w:t>B</w:t>
      </w:r>
      <w:r>
        <w:rPr>
          <w:rFonts w:ascii="Times New Roman" w:hAnsi="Times New Roman" w:cs="Times New Roman"/>
          <w:bCs/>
          <w:kern w:val="24"/>
          <w:lang w:bidi="ar"/>
        </w:rPr>
        <w:t>、</w:t>
      </w:r>
      <w:r>
        <w:rPr>
          <w:rFonts w:ascii="Times New Roman" w:hAnsi="Times New Roman" w:cs="Times New Roman"/>
          <w:bCs/>
          <w:kern w:val="24"/>
          <w:lang w:bidi="ar"/>
        </w:rPr>
        <w:t>x</w:t>
      </w:r>
      <w:r>
        <w:rPr>
          <w:rFonts w:ascii="Times New Roman" w:hAnsi="Times New Roman" w:cs="Times New Roman"/>
          <w:bCs/>
          <w:kern w:val="24"/>
          <w:lang w:bidi="ar"/>
        </w:rPr>
        <w:t>、</w:t>
      </w:r>
      <w:r>
        <w:rPr>
          <w:rFonts w:ascii="Times New Roman" w:hAnsi="Times New Roman" w:cs="Times New Roman"/>
          <w:bCs/>
          <w:kern w:val="24"/>
          <w:lang w:bidi="ar"/>
        </w:rPr>
        <w:t>y</w:t>
      </w:r>
      <w:r>
        <w:rPr>
          <w:rFonts w:ascii="Times New Roman" w:hAnsi="Times New Roman" w:cs="Times New Roman"/>
          <w:bCs/>
          <w:kern w:val="24"/>
          <w:lang w:bidi="ar"/>
        </w:rPr>
        <w:t>、</w:t>
      </w:r>
      <w:r>
        <w:rPr>
          <w:rFonts w:ascii="Times New Roman" w:hAnsi="Times New Roman" w:cs="Times New Roman"/>
          <w:bCs/>
          <w:kern w:val="24"/>
          <w:lang w:bidi="ar"/>
        </w:rPr>
        <w:t>z</w:t>
      </w:r>
      <w:r>
        <w:rPr>
          <w:rFonts w:ascii="Times New Roman" w:hAnsi="Times New Roman" w:cs="Times New Roman"/>
          <w:bCs/>
          <w:kern w:val="24"/>
          <w:lang w:bidi="ar"/>
        </w:rPr>
        <w:t>为相应参数。</w:t>
      </w:r>
      <w:r>
        <w:rPr>
          <w:rFonts w:ascii="Times New Roman" w:hAnsi="Times New Roman" w:cs="Times New Roman"/>
          <w:lang w:bidi="ar"/>
        </w:rPr>
        <w:t>采用低</w:t>
      </w:r>
      <w:r>
        <w:rPr>
          <w:rFonts w:ascii="Times New Roman" w:hAnsi="Times New Roman" w:cs="Times New Roman"/>
          <w:lang w:bidi="ar"/>
        </w:rPr>
        <w:t xml:space="preserve">Cu </w:t>
      </w:r>
      <w:r>
        <w:rPr>
          <w:rFonts w:ascii="Times New Roman" w:hAnsi="Times New Roman" w:cs="Times New Roman"/>
          <w:lang w:bidi="ar"/>
        </w:rPr>
        <w:t>RPV</w:t>
      </w:r>
      <w:r>
        <w:rPr>
          <w:rFonts w:ascii="Times New Roman" w:hAnsi="Times New Roman" w:cs="Times New Roman"/>
          <w:lang w:bidi="ar"/>
        </w:rPr>
        <w:t>辐照脆化数据，基于计算机最优解分析，获得系数</w:t>
      </w:r>
      <w:r>
        <w:rPr>
          <w:rFonts w:ascii="Times New Roman" w:hAnsi="Times New Roman" w:cs="Times New Roman"/>
          <w:lang w:bidi="ar"/>
        </w:rPr>
        <w:t>B</w:t>
      </w:r>
      <w:r>
        <w:rPr>
          <w:rFonts w:ascii="Times New Roman" w:hAnsi="Times New Roman" w:cs="Times New Roman"/>
          <w:lang w:bidi="ar"/>
        </w:rPr>
        <w:t>、</w:t>
      </w:r>
      <w:r>
        <w:rPr>
          <w:rFonts w:ascii="Times New Roman" w:hAnsi="Times New Roman" w:cs="Times New Roman"/>
          <w:lang w:bidi="ar"/>
        </w:rPr>
        <w:t>x</w:t>
      </w:r>
      <w:r>
        <w:rPr>
          <w:rFonts w:ascii="Times New Roman" w:hAnsi="Times New Roman" w:cs="Times New Roman"/>
          <w:lang w:bidi="ar"/>
        </w:rPr>
        <w:t>、</w:t>
      </w:r>
      <w:r>
        <w:rPr>
          <w:rFonts w:ascii="Times New Roman" w:hAnsi="Times New Roman" w:cs="Times New Roman"/>
          <w:lang w:bidi="ar"/>
        </w:rPr>
        <w:t>y</w:t>
      </w:r>
      <w:r>
        <w:rPr>
          <w:rFonts w:ascii="Times New Roman" w:hAnsi="Times New Roman" w:cs="Times New Roman"/>
          <w:lang w:bidi="ar"/>
        </w:rPr>
        <w:t>、</w:t>
      </w:r>
      <w:r>
        <w:rPr>
          <w:rFonts w:ascii="Times New Roman" w:hAnsi="Times New Roman" w:cs="Times New Roman"/>
          <w:lang w:bidi="ar"/>
        </w:rPr>
        <w:t>z</w:t>
      </w:r>
      <w:r>
        <w:rPr>
          <w:rFonts w:ascii="Times New Roman" w:hAnsi="Times New Roman" w:cs="Times New Roman"/>
          <w:lang w:bidi="ar"/>
        </w:rPr>
        <w:t>的最优解组合；随后对中子辐照注量指数进行微调，并引入偏置系数，建立低</w:t>
      </w:r>
      <w:r>
        <w:rPr>
          <w:rFonts w:ascii="Times New Roman" w:hAnsi="Times New Roman" w:cs="Times New Roman"/>
          <w:lang w:bidi="ar"/>
        </w:rPr>
        <w:t>Cu</w:t>
      </w:r>
      <w:r>
        <w:rPr>
          <w:rFonts w:ascii="Times New Roman" w:hAnsi="Times New Roman" w:cs="Times New Roman"/>
          <w:lang w:bidi="ar"/>
        </w:rPr>
        <w:t>（</w:t>
      </w:r>
      <w:r>
        <w:rPr>
          <w:rFonts w:ascii="Times New Roman" w:hAnsi="Times New Roman" w:cs="Times New Roman"/>
          <w:lang w:bidi="ar"/>
        </w:rPr>
        <w:t>Cu</w:t>
      </w:r>
      <w:r>
        <w:rPr>
          <w:rFonts w:ascii="Times New Roman" w:hAnsi="Times New Roman" w:cs="Times New Roman"/>
          <w:lang w:bidi="ar"/>
        </w:rPr>
        <w:t>＜</w:t>
      </w:r>
      <w:r>
        <w:rPr>
          <w:rFonts w:ascii="Times New Roman" w:hAnsi="Times New Roman" w:cs="Times New Roman"/>
          <w:lang w:bidi="ar"/>
        </w:rPr>
        <w:t>0.072 wt.%</w:t>
      </w:r>
      <w:r>
        <w:rPr>
          <w:rFonts w:ascii="Times New Roman" w:hAnsi="Times New Roman" w:cs="Times New Roman"/>
          <w:lang w:bidi="ar"/>
        </w:rPr>
        <w:t>）</w:t>
      </w:r>
      <w:r>
        <w:rPr>
          <w:rFonts w:ascii="Times New Roman" w:hAnsi="Times New Roman" w:cs="Times New Roman"/>
          <w:lang w:bidi="ar"/>
        </w:rPr>
        <w:t>RPV</w:t>
      </w:r>
      <w:r>
        <w:rPr>
          <w:rFonts w:ascii="Times New Roman" w:hAnsi="Times New Roman" w:cs="Times New Roman"/>
          <w:lang w:bidi="ar"/>
        </w:rPr>
        <w:t>钢辐照脆化预测模型</w:t>
      </w:r>
      <w:r>
        <w:rPr>
          <w:rFonts w:ascii="Times New Roman" w:hAnsi="Times New Roman" w:cs="Times New Roman"/>
          <w:lang w:bidi="ar"/>
        </w:rPr>
        <w:t>PMIE-2020</w:t>
      </w:r>
      <w:r>
        <w:rPr>
          <w:rFonts w:ascii="Times New Roman" w:hAnsi="Times New Roman" w:cs="Times New Roman"/>
          <w:lang w:bidi="ar"/>
        </w:rPr>
        <w:t>：</w:t>
      </w:r>
    </w:p>
    <w:p w:rsidR="0000699C" w:rsidRDefault="000801E7">
      <w:pPr>
        <w:spacing w:line="276" w:lineRule="auto"/>
        <w:jc w:val="center"/>
        <w:textAlignment w:val="baseline"/>
        <w:rPr>
          <w:rFonts w:ascii="Times New Roman" w:hAnsi="Times New Roman" w:cs="Times New Roman"/>
          <w:bCs/>
          <w:kern w:val="24"/>
        </w:rPr>
      </w:pPr>
      <w:r>
        <w:rPr>
          <w:rFonts w:ascii="Times New Roman" w:hAnsi="Times New Roman" w:cs="Times New Roman"/>
          <w:bCs/>
          <w:kern w:val="24"/>
          <w:lang w:val="el" w:bidi="ar"/>
        </w:rPr>
        <w:t>Δ</w:t>
      </w:r>
      <w:r>
        <w:rPr>
          <w:rFonts w:ascii="Times New Roman" w:hAnsi="Times New Roman" w:cs="Times New Roman"/>
          <w:bCs/>
          <w:kern w:val="24"/>
          <w:lang w:bidi="ar"/>
        </w:rPr>
        <w:t>RT</w:t>
      </w:r>
      <w:r>
        <w:rPr>
          <w:rFonts w:ascii="Times New Roman" w:hAnsi="Times New Roman" w:cs="Times New Roman"/>
          <w:bCs/>
          <w:kern w:val="24"/>
          <w:vertAlign w:val="subscript"/>
          <w:lang w:bidi="ar"/>
        </w:rPr>
        <w:t>NDT</w:t>
      </w:r>
      <w:r>
        <w:rPr>
          <w:rFonts w:ascii="Times New Roman" w:hAnsi="Times New Roman" w:cs="Times New Roman"/>
          <w:bCs/>
          <w:kern w:val="24"/>
          <w:lang w:bidi="ar"/>
        </w:rPr>
        <w:t>=1.954×10</w:t>
      </w:r>
      <w:r>
        <w:rPr>
          <w:rFonts w:ascii="Times New Roman" w:hAnsi="Times New Roman" w:cs="Times New Roman"/>
          <w:bCs/>
          <w:kern w:val="24"/>
          <w:vertAlign w:val="superscript"/>
          <w:lang w:bidi="ar"/>
        </w:rPr>
        <w:t>-8</w:t>
      </w:r>
      <w:r>
        <w:rPr>
          <w:rFonts w:ascii="Times New Roman" w:hAnsi="Times New Roman" w:cs="Times New Roman"/>
          <w:bCs/>
          <w:kern w:val="24"/>
          <w:lang w:bidi="ar"/>
        </w:rPr>
        <w:t>(1-0.002545T)(1+0.3Mn</w:t>
      </w:r>
      <w:r>
        <w:rPr>
          <w:rFonts w:ascii="Times New Roman" w:hAnsi="Times New Roman" w:cs="Times New Roman"/>
          <w:bCs/>
          <w:kern w:val="24"/>
          <w:vertAlign w:val="superscript"/>
          <w:lang w:bidi="ar"/>
        </w:rPr>
        <w:t>2.2</w:t>
      </w:r>
      <w:r>
        <w:rPr>
          <w:rFonts w:ascii="Times New Roman" w:hAnsi="Times New Roman" w:cs="Times New Roman"/>
          <w:bCs/>
          <w:kern w:val="24"/>
          <w:lang w:bidi="ar"/>
        </w:rPr>
        <w:t>Ni</w:t>
      </w:r>
      <w:r>
        <w:rPr>
          <w:rFonts w:ascii="Times New Roman" w:hAnsi="Times New Roman" w:cs="Times New Roman"/>
          <w:bCs/>
          <w:kern w:val="24"/>
          <w:vertAlign w:val="superscript"/>
          <w:lang w:bidi="ar"/>
        </w:rPr>
        <w:t>0.15</w:t>
      </w:r>
      <w:r>
        <w:rPr>
          <w:rFonts w:ascii="Times New Roman" w:hAnsi="Times New Roman" w:cs="Times New Roman"/>
          <w:bCs/>
          <w:kern w:val="24"/>
          <w:lang w:bidi="ar"/>
        </w:rPr>
        <w:t>)f</w:t>
      </w:r>
      <w:r>
        <w:rPr>
          <w:rFonts w:ascii="Times New Roman" w:hAnsi="Times New Roman" w:cs="Times New Roman"/>
          <w:bCs/>
          <w:kern w:val="24"/>
          <w:vertAlign w:val="superscript"/>
          <w:lang w:bidi="ar"/>
        </w:rPr>
        <w:t>0.492</w:t>
      </w:r>
      <w:r>
        <w:rPr>
          <w:rFonts w:ascii="Times New Roman" w:hAnsi="Times New Roman" w:cs="Times New Roman"/>
          <w:bCs/>
          <w:kern w:val="24"/>
          <w:lang w:bidi="ar"/>
        </w:rPr>
        <w:t xml:space="preserve">+1.9     </w:t>
      </w:r>
      <w:r>
        <w:rPr>
          <w:rFonts w:ascii="Times New Roman" w:hAnsi="Times New Roman" w:cs="Times New Roman"/>
          <w:bCs/>
          <w:kern w:val="24"/>
          <w:lang w:bidi="ar"/>
        </w:rPr>
        <w:t>（公式</w:t>
      </w:r>
      <w:r>
        <w:rPr>
          <w:rFonts w:ascii="Times New Roman" w:hAnsi="Times New Roman" w:cs="Times New Roman"/>
          <w:bCs/>
          <w:kern w:val="24"/>
          <w:lang w:bidi="ar"/>
        </w:rPr>
        <w:t>4</w:t>
      </w:r>
      <w:r>
        <w:rPr>
          <w:rFonts w:ascii="Times New Roman" w:hAnsi="Times New Roman" w:cs="Times New Roman"/>
          <w:bCs/>
          <w:kern w:val="24"/>
          <w:lang w:bidi="ar"/>
        </w:rPr>
        <w:t>）</w:t>
      </w:r>
    </w:p>
    <w:p w:rsidR="0000699C" w:rsidRDefault="000801E7">
      <w:pPr>
        <w:spacing w:line="276" w:lineRule="auto"/>
        <w:textAlignment w:val="baseline"/>
        <w:rPr>
          <w:rFonts w:ascii="Times New Roman" w:hAnsi="Times New Roman" w:cs="Times New Roman"/>
          <w:bCs/>
          <w:kern w:val="24"/>
          <w:lang w:bidi="ar"/>
        </w:rPr>
      </w:pPr>
      <w:r>
        <w:rPr>
          <w:rFonts w:ascii="Times New Roman" w:hAnsi="Times New Roman" w:cs="Times New Roman"/>
          <w:bCs/>
          <w:kern w:val="24"/>
          <w:lang w:bidi="ar"/>
        </w:rPr>
        <w:t>其中，</w:t>
      </w:r>
      <w:r>
        <w:rPr>
          <w:rFonts w:ascii="Times New Roman" w:hAnsi="Times New Roman" w:cs="Times New Roman"/>
          <w:bCs/>
          <w:kern w:val="24"/>
          <w:lang w:val="el" w:bidi="ar"/>
        </w:rPr>
        <w:t>Δ</w:t>
      </w:r>
      <w:r>
        <w:rPr>
          <w:rFonts w:ascii="Times New Roman" w:hAnsi="Times New Roman" w:cs="Times New Roman"/>
          <w:bCs/>
          <w:kern w:val="24"/>
          <w:lang w:bidi="ar"/>
        </w:rPr>
        <w:t>RT</w:t>
      </w:r>
      <w:r>
        <w:rPr>
          <w:rFonts w:ascii="Times New Roman" w:hAnsi="Times New Roman" w:cs="Times New Roman"/>
          <w:bCs/>
          <w:kern w:val="24"/>
          <w:vertAlign w:val="subscript"/>
          <w:lang w:bidi="ar"/>
        </w:rPr>
        <w:t>NDT</w:t>
      </w:r>
      <w:r>
        <w:rPr>
          <w:rFonts w:ascii="Times New Roman" w:hAnsi="Times New Roman" w:cs="Times New Roman"/>
          <w:bCs/>
          <w:kern w:val="24"/>
          <w:lang w:bidi="ar"/>
        </w:rPr>
        <w:t>为参考零塑性转变温度增量，单位为</w:t>
      </w:r>
      <w:r>
        <w:rPr>
          <w:rFonts w:ascii="Times New Roman" w:hAnsi="Times New Roman" w:cs="Times New Roman"/>
          <w:bCs/>
          <w:kern w:val="24"/>
          <w:lang w:bidi="ar"/>
        </w:rPr>
        <w:t>℃</w:t>
      </w:r>
      <w:r>
        <w:rPr>
          <w:rFonts w:ascii="Times New Roman" w:hAnsi="Times New Roman" w:cs="Times New Roman"/>
          <w:bCs/>
          <w:kern w:val="24"/>
          <w:lang w:bidi="ar"/>
        </w:rPr>
        <w:t>；</w:t>
      </w:r>
      <w:r>
        <w:rPr>
          <w:rFonts w:ascii="Times New Roman" w:hAnsi="Times New Roman" w:cs="Times New Roman"/>
          <w:bCs/>
          <w:kern w:val="24"/>
          <w:lang w:bidi="ar"/>
        </w:rPr>
        <w:t>T</w:t>
      </w:r>
      <w:r>
        <w:rPr>
          <w:rFonts w:ascii="Times New Roman" w:hAnsi="Times New Roman" w:cs="Times New Roman"/>
          <w:bCs/>
          <w:kern w:val="24"/>
          <w:lang w:bidi="ar"/>
        </w:rPr>
        <w:t>为辐照温度，单位为</w:t>
      </w:r>
      <w:r>
        <w:rPr>
          <w:rFonts w:ascii="Times New Roman" w:hAnsi="Times New Roman" w:cs="Times New Roman"/>
          <w:bCs/>
          <w:kern w:val="24"/>
          <w:lang w:bidi="ar"/>
        </w:rPr>
        <w:t>℃</w:t>
      </w:r>
      <w:r>
        <w:rPr>
          <w:rFonts w:ascii="Times New Roman" w:hAnsi="Times New Roman" w:cs="Times New Roman"/>
          <w:bCs/>
          <w:kern w:val="24"/>
          <w:lang w:bidi="ar"/>
        </w:rPr>
        <w:t>，</w:t>
      </w:r>
      <w:r>
        <w:rPr>
          <w:rFonts w:ascii="Times New Roman" w:hAnsi="Times New Roman" w:cs="Times New Roman"/>
          <w:bCs/>
          <w:kern w:val="24"/>
          <w:lang w:bidi="ar"/>
        </w:rPr>
        <w:t>Mn</w:t>
      </w:r>
      <w:r>
        <w:rPr>
          <w:rFonts w:ascii="Times New Roman" w:hAnsi="Times New Roman" w:cs="Times New Roman"/>
          <w:bCs/>
          <w:kern w:val="24"/>
          <w:lang w:bidi="ar"/>
        </w:rPr>
        <w:t>、</w:t>
      </w:r>
      <w:r>
        <w:rPr>
          <w:rFonts w:ascii="Times New Roman" w:hAnsi="Times New Roman" w:cs="Times New Roman"/>
          <w:bCs/>
          <w:kern w:val="24"/>
          <w:lang w:bidi="ar"/>
        </w:rPr>
        <w:t>Si</w:t>
      </w:r>
      <w:r>
        <w:rPr>
          <w:rFonts w:ascii="Times New Roman" w:hAnsi="Times New Roman" w:cs="Times New Roman"/>
          <w:bCs/>
          <w:kern w:val="24"/>
          <w:lang w:bidi="ar"/>
        </w:rPr>
        <w:t>为化学元素含量，单位为</w:t>
      </w:r>
      <w:r>
        <w:rPr>
          <w:rFonts w:ascii="Times New Roman" w:hAnsi="Times New Roman" w:cs="Times New Roman"/>
          <w:bCs/>
          <w:kern w:val="24"/>
          <w:lang w:bidi="ar"/>
        </w:rPr>
        <w:t>wt.%</w:t>
      </w:r>
      <w:r>
        <w:rPr>
          <w:rFonts w:ascii="Times New Roman" w:hAnsi="Times New Roman" w:cs="Times New Roman"/>
          <w:bCs/>
          <w:kern w:val="24"/>
          <w:lang w:bidi="ar"/>
        </w:rPr>
        <w:t>，</w:t>
      </w:r>
      <w:r>
        <w:rPr>
          <w:rFonts w:ascii="Times New Roman" w:hAnsi="Times New Roman" w:cs="Times New Roman"/>
          <w:bCs/>
          <w:kern w:val="24"/>
          <w:lang w:bidi="ar"/>
        </w:rPr>
        <w:t>f</w:t>
      </w:r>
      <w:r>
        <w:rPr>
          <w:rFonts w:ascii="Times New Roman" w:hAnsi="Times New Roman" w:cs="Times New Roman"/>
          <w:bCs/>
          <w:kern w:val="24"/>
          <w:lang w:bidi="ar"/>
        </w:rPr>
        <w:t>为中子注量，单位为</w:t>
      </w:r>
      <w:r>
        <w:rPr>
          <w:rFonts w:ascii="Times New Roman" w:hAnsi="Times New Roman" w:cs="Times New Roman"/>
          <w:bCs/>
          <w:kern w:val="24"/>
          <w:lang w:bidi="ar"/>
        </w:rPr>
        <w:t>n/cm</w:t>
      </w:r>
      <w:r>
        <w:rPr>
          <w:rFonts w:ascii="Times New Roman" w:hAnsi="Times New Roman" w:cs="Times New Roman"/>
          <w:bCs/>
          <w:kern w:val="24"/>
          <w:vertAlign w:val="superscript"/>
          <w:lang w:bidi="ar"/>
        </w:rPr>
        <w:t>2</w:t>
      </w:r>
      <w:r>
        <w:rPr>
          <w:rFonts w:ascii="Times New Roman" w:hAnsi="Times New Roman" w:cs="Times New Roman"/>
          <w:bCs/>
          <w:kern w:val="24"/>
          <w:lang w:bidi="ar"/>
        </w:rPr>
        <w:t xml:space="preserve"> (E</w:t>
      </w:r>
      <w:r>
        <w:rPr>
          <w:rFonts w:ascii="Times New Roman" w:hAnsi="Times New Roman" w:cs="Times New Roman"/>
          <w:bCs/>
          <w:kern w:val="24"/>
          <w:lang w:bidi="ar"/>
        </w:rPr>
        <w:t>＞</w:t>
      </w:r>
      <w:r>
        <w:rPr>
          <w:rFonts w:ascii="Times New Roman" w:hAnsi="Times New Roman" w:cs="Times New Roman"/>
          <w:bCs/>
          <w:kern w:val="24"/>
          <w:lang w:bidi="ar"/>
        </w:rPr>
        <w:t>1MeV)</w:t>
      </w:r>
      <w:r>
        <w:rPr>
          <w:rFonts w:ascii="Times New Roman" w:hAnsi="Times New Roman" w:cs="Times New Roman"/>
          <w:bCs/>
          <w:kern w:val="24"/>
          <w:lang w:bidi="ar"/>
        </w:rPr>
        <w:t>。</w:t>
      </w:r>
    </w:p>
    <w:p w:rsidR="0000699C" w:rsidRDefault="000801E7">
      <w:pPr>
        <w:rPr>
          <w:b/>
          <w:bCs/>
        </w:rPr>
      </w:pPr>
      <w:r>
        <w:rPr>
          <w:b/>
          <w:bCs/>
        </w:rPr>
        <w:t>3</w:t>
      </w:r>
      <w:r>
        <w:rPr>
          <w:rFonts w:hint="eastAsia"/>
          <w:b/>
          <w:bCs/>
        </w:rPr>
        <w:t>）、</w:t>
      </w:r>
      <w:r>
        <w:rPr>
          <w:b/>
          <w:bCs/>
        </w:rPr>
        <w:t>模型准确性评估</w:t>
      </w:r>
    </w:p>
    <w:p w:rsidR="0000699C" w:rsidRDefault="000801E7">
      <w:pPr>
        <w:spacing w:line="276" w:lineRule="auto"/>
        <w:ind w:firstLine="420"/>
        <w:textAlignment w:val="baseline"/>
        <w:rPr>
          <w:rFonts w:ascii="Times New Roman" w:hAnsi="Times New Roman" w:cs="Times New Roman"/>
          <w:bCs/>
          <w:kern w:val="24"/>
          <w:lang w:bidi="ar"/>
        </w:rPr>
      </w:pPr>
      <w:r>
        <w:rPr>
          <w:rFonts w:ascii="Times New Roman" w:hAnsi="Times New Roman" w:cs="Times New Roman"/>
          <w:bCs/>
          <w:kern w:val="24"/>
          <w:lang w:bidi="ar"/>
        </w:rPr>
        <w:t>附图</w:t>
      </w:r>
      <w:r>
        <w:rPr>
          <w:rFonts w:ascii="Times New Roman" w:hAnsi="Times New Roman" w:cs="Times New Roman"/>
          <w:bCs/>
          <w:kern w:val="24"/>
          <w:lang w:bidi="ar"/>
        </w:rPr>
        <w:t>1-4</w:t>
      </w:r>
      <w:r>
        <w:rPr>
          <w:rFonts w:ascii="Times New Roman" w:hAnsi="Times New Roman" w:cs="Times New Roman"/>
          <w:bCs/>
          <w:kern w:val="24"/>
          <w:lang w:bidi="ar"/>
        </w:rPr>
        <w:t>为</w:t>
      </w:r>
      <w:r>
        <w:rPr>
          <w:rFonts w:ascii="Times New Roman" w:hAnsi="Times New Roman" w:cs="Times New Roman"/>
          <w:bCs/>
          <w:kern w:val="24"/>
          <w:lang w:bidi="ar"/>
        </w:rPr>
        <w:t>PMIE-2020</w:t>
      </w:r>
      <w:r>
        <w:rPr>
          <w:rFonts w:ascii="Times New Roman" w:hAnsi="Times New Roman" w:cs="Times New Roman"/>
          <w:bCs/>
          <w:kern w:val="24"/>
          <w:lang w:bidi="ar"/>
        </w:rPr>
        <w:t>的残差随中子注量、辐照温度、化学元素</w:t>
      </w:r>
      <w:r>
        <w:rPr>
          <w:rFonts w:ascii="Times New Roman" w:hAnsi="Times New Roman" w:cs="Times New Roman"/>
          <w:bCs/>
          <w:kern w:val="24"/>
          <w:lang w:bidi="ar"/>
        </w:rPr>
        <w:t>Cu</w:t>
      </w:r>
      <w:r>
        <w:rPr>
          <w:rFonts w:ascii="Times New Roman" w:hAnsi="Times New Roman" w:cs="Times New Roman"/>
          <w:bCs/>
          <w:kern w:val="24"/>
          <w:lang w:bidi="ar"/>
        </w:rPr>
        <w:t>、</w:t>
      </w:r>
      <w:r>
        <w:rPr>
          <w:rFonts w:ascii="Times New Roman" w:hAnsi="Times New Roman" w:cs="Times New Roman"/>
          <w:bCs/>
          <w:kern w:val="24"/>
          <w:lang w:bidi="ar"/>
        </w:rPr>
        <w:t>P</w:t>
      </w:r>
      <w:r>
        <w:rPr>
          <w:rFonts w:ascii="Times New Roman" w:hAnsi="Times New Roman" w:cs="Times New Roman"/>
          <w:bCs/>
          <w:kern w:val="24"/>
          <w:lang w:bidi="ar"/>
        </w:rPr>
        <w:t>、</w:t>
      </w:r>
      <w:r>
        <w:rPr>
          <w:rFonts w:ascii="Times New Roman" w:hAnsi="Times New Roman" w:cs="Times New Roman"/>
          <w:bCs/>
          <w:kern w:val="24"/>
          <w:lang w:bidi="ar"/>
        </w:rPr>
        <w:t>Mn</w:t>
      </w:r>
      <w:r>
        <w:rPr>
          <w:rFonts w:ascii="Times New Roman" w:hAnsi="Times New Roman" w:cs="Times New Roman"/>
          <w:bCs/>
          <w:kern w:val="24"/>
          <w:lang w:bidi="ar"/>
        </w:rPr>
        <w:t>、</w:t>
      </w:r>
      <w:r>
        <w:rPr>
          <w:rFonts w:ascii="Times New Roman" w:hAnsi="Times New Roman" w:cs="Times New Roman"/>
          <w:bCs/>
          <w:kern w:val="24"/>
          <w:lang w:bidi="ar"/>
        </w:rPr>
        <w:t>Ni</w:t>
      </w:r>
      <w:r>
        <w:rPr>
          <w:rFonts w:ascii="Times New Roman" w:hAnsi="Times New Roman" w:cs="Times New Roman"/>
          <w:bCs/>
          <w:kern w:val="24"/>
          <w:lang w:bidi="ar"/>
        </w:rPr>
        <w:t>、</w:t>
      </w:r>
      <w:r>
        <w:rPr>
          <w:rFonts w:ascii="Times New Roman" w:hAnsi="Times New Roman" w:cs="Times New Roman"/>
          <w:bCs/>
          <w:kern w:val="24"/>
          <w:lang w:bidi="ar"/>
        </w:rPr>
        <w:t>Si</w:t>
      </w:r>
      <w:r>
        <w:rPr>
          <w:rFonts w:ascii="Times New Roman" w:hAnsi="Times New Roman" w:cs="Times New Roman"/>
          <w:bCs/>
          <w:kern w:val="24"/>
          <w:lang w:bidi="ar"/>
        </w:rPr>
        <w:t>的变化关系，其中，残差曲线通过最小二乘法计算获得。结果表明，残差曲线几乎处于残差零线处，且无显著的倾向性趋势，表明</w:t>
      </w:r>
      <w:r>
        <w:rPr>
          <w:rFonts w:ascii="Times New Roman" w:hAnsi="Times New Roman" w:cs="Times New Roman"/>
          <w:bCs/>
          <w:kern w:val="24"/>
          <w:lang w:bidi="ar"/>
        </w:rPr>
        <w:t>PMIE-2020</w:t>
      </w:r>
      <w:r>
        <w:rPr>
          <w:rFonts w:ascii="Times New Roman" w:hAnsi="Times New Roman" w:cs="Times New Roman"/>
          <w:bCs/>
          <w:kern w:val="24"/>
          <w:lang w:bidi="ar"/>
        </w:rPr>
        <w:t>预测模型具有很高的准确性，低</w:t>
      </w:r>
      <w:r>
        <w:rPr>
          <w:rFonts w:ascii="Times New Roman" w:hAnsi="Times New Roman" w:cs="Times New Roman"/>
          <w:bCs/>
          <w:kern w:val="24"/>
          <w:lang w:bidi="ar"/>
        </w:rPr>
        <w:t>Cu RPV</w:t>
      </w:r>
      <w:r>
        <w:rPr>
          <w:rFonts w:ascii="Times New Roman" w:hAnsi="Times New Roman" w:cs="Times New Roman"/>
          <w:bCs/>
          <w:kern w:val="24"/>
          <w:lang w:bidi="ar"/>
        </w:rPr>
        <w:t>钢辐照脆化可通过辐照注量、辐照温度、</w:t>
      </w:r>
      <w:r>
        <w:rPr>
          <w:rFonts w:ascii="Times New Roman" w:hAnsi="Times New Roman" w:cs="Times New Roman"/>
          <w:bCs/>
          <w:kern w:val="24"/>
          <w:lang w:bidi="ar"/>
        </w:rPr>
        <w:t>Mn</w:t>
      </w:r>
      <w:r>
        <w:rPr>
          <w:rFonts w:ascii="Times New Roman" w:hAnsi="Times New Roman" w:cs="Times New Roman"/>
          <w:bCs/>
          <w:kern w:val="24"/>
          <w:lang w:bidi="ar"/>
        </w:rPr>
        <w:t>、</w:t>
      </w:r>
      <w:r>
        <w:rPr>
          <w:rFonts w:ascii="Times New Roman" w:hAnsi="Times New Roman" w:cs="Times New Roman"/>
          <w:bCs/>
          <w:kern w:val="24"/>
          <w:lang w:bidi="ar"/>
        </w:rPr>
        <w:t>Si</w:t>
      </w:r>
      <w:r>
        <w:rPr>
          <w:rFonts w:ascii="Times New Roman" w:hAnsi="Times New Roman" w:cs="Times New Roman"/>
          <w:bCs/>
          <w:kern w:val="24"/>
          <w:lang w:bidi="ar"/>
        </w:rPr>
        <w:t>含量进行描述。</w:t>
      </w:r>
    </w:p>
    <w:p w:rsidR="0000699C" w:rsidRDefault="000801E7">
      <w:pPr>
        <w:spacing w:line="276" w:lineRule="auto"/>
        <w:jc w:val="center"/>
        <w:rPr>
          <w:rFonts w:ascii="Times New Roman" w:hAnsi="Times New Roman" w:cs="Times New Roman"/>
        </w:rPr>
      </w:pPr>
      <w:r>
        <w:rPr>
          <w:rFonts w:ascii="Times New Roman" w:hAnsi="Times New Roman" w:cs="Times New Roman"/>
          <w:noProof/>
        </w:rPr>
        <w:lastRenderedPageBreak/>
        <w:drawing>
          <wp:inline distT="0" distB="0" distL="114300" distR="114300">
            <wp:extent cx="2404745" cy="1800225"/>
            <wp:effectExtent l="0" t="0" r="14605" b="9525"/>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pic:cNvPicPr>
                      <a:picLocks noChangeAspect="1"/>
                    </pic:cNvPicPr>
                  </pic:nvPicPr>
                  <pic:blipFill>
                    <a:blip r:embed="rId12"/>
                    <a:srcRect l="8212" t="9661" r="11314" b="4178"/>
                    <a:stretch>
                      <a:fillRect/>
                    </a:stretch>
                  </pic:blipFill>
                  <pic:spPr>
                    <a:xfrm>
                      <a:off x="0" y="0"/>
                      <a:ext cx="2404745" cy="18002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426335" cy="1800225"/>
            <wp:effectExtent l="0" t="0" r="12065" b="9525"/>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13"/>
                    <a:srcRect l="8133" t="10317" r="11645" b="4497"/>
                    <a:stretch>
                      <a:fillRect/>
                    </a:stretch>
                  </pic:blipFill>
                  <pic:spPr>
                    <a:xfrm>
                      <a:off x="0" y="0"/>
                      <a:ext cx="2426335" cy="18002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391410" cy="1800225"/>
            <wp:effectExtent l="0" t="0" r="8890" b="9525"/>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pic:cNvPicPr>
                      <a:picLocks noChangeAspect="1"/>
                    </pic:cNvPicPr>
                  </pic:nvPicPr>
                  <pic:blipFill>
                    <a:blip r:embed="rId14"/>
                    <a:srcRect l="8451" t="9320" r="11796" b="4786"/>
                    <a:stretch>
                      <a:fillRect/>
                    </a:stretch>
                  </pic:blipFill>
                  <pic:spPr>
                    <a:xfrm>
                      <a:off x="0" y="0"/>
                      <a:ext cx="2391410" cy="18002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378075" cy="1800225"/>
            <wp:effectExtent l="0" t="0" r="3175" b="9525"/>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7"/>
                    <pic:cNvPicPr>
                      <a:picLocks noChangeAspect="1"/>
                    </pic:cNvPicPr>
                  </pic:nvPicPr>
                  <pic:blipFill>
                    <a:blip r:embed="rId15"/>
                    <a:srcRect l="8537" t="9975" r="12718" b="4738"/>
                    <a:stretch>
                      <a:fillRect/>
                    </a:stretch>
                  </pic:blipFill>
                  <pic:spPr>
                    <a:xfrm>
                      <a:off x="0" y="0"/>
                      <a:ext cx="2378075" cy="18002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381885" cy="1800225"/>
            <wp:effectExtent l="0" t="0" r="18415" b="9525"/>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pic:cNvPicPr>
                      <a:picLocks noChangeAspect="1"/>
                    </pic:cNvPicPr>
                  </pic:nvPicPr>
                  <pic:blipFill>
                    <a:blip r:embed="rId16"/>
                    <a:srcRect l="8316" t="9146" r="12367" b="5183"/>
                    <a:stretch>
                      <a:fillRect/>
                    </a:stretch>
                  </pic:blipFill>
                  <pic:spPr>
                    <a:xfrm>
                      <a:off x="0" y="0"/>
                      <a:ext cx="2381885" cy="18002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439670" cy="1800225"/>
            <wp:effectExtent l="0" t="0" r="17780" b="9525"/>
            <wp:docPr id="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9"/>
                    <pic:cNvPicPr>
                      <a:picLocks noChangeAspect="1"/>
                    </pic:cNvPicPr>
                  </pic:nvPicPr>
                  <pic:blipFill>
                    <a:blip r:embed="rId17"/>
                    <a:srcRect l="8176" t="10210" r="11111" b="4505"/>
                    <a:stretch>
                      <a:fillRect/>
                    </a:stretch>
                  </pic:blipFill>
                  <pic:spPr>
                    <a:xfrm>
                      <a:off x="0" y="0"/>
                      <a:ext cx="2439670" cy="18002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389505" cy="1800225"/>
            <wp:effectExtent l="0" t="0" r="10795" b="9525"/>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18"/>
                    <a:srcRect l="8351" t="9851" r="12109" b="4478"/>
                    <a:stretch>
                      <a:fillRect/>
                    </a:stretch>
                  </pic:blipFill>
                  <pic:spPr>
                    <a:xfrm>
                      <a:off x="0" y="0"/>
                      <a:ext cx="2389505" cy="1800225"/>
                    </a:xfrm>
                    <a:prstGeom prst="rect">
                      <a:avLst/>
                    </a:prstGeom>
                    <a:noFill/>
                    <a:ln>
                      <a:noFill/>
                    </a:ln>
                  </pic:spPr>
                </pic:pic>
              </a:graphicData>
            </a:graphic>
          </wp:inline>
        </w:drawing>
      </w:r>
      <w:r>
        <w:rPr>
          <w:rFonts w:ascii="Times New Roman" w:hAnsi="Times New Roman" w:cs="Times New Roman"/>
          <w:noProof/>
        </w:rPr>
        <w:drawing>
          <wp:inline distT="0" distB="0" distL="114300" distR="114300">
            <wp:extent cx="2406015" cy="1800225"/>
            <wp:effectExtent l="0" t="0" r="13335" b="9525"/>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pic:cNvPicPr>
                      <a:picLocks noChangeAspect="1"/>
                    </pic:cNvPicPr>
                  </pic:nvPicPr>
                  <pic:blipFill>
                    <a:blip r:embed="rId19"/>
                    <a:srcRect l="7839" t="9394" r="12288" b="5152"/>
                    <a:stretch>
                      <a:fillRect/>
                    </a:stretch>
                  </pic:blipFill>
                  <pic:spPr>
                    <a:xfrm>
                      <a:off x="0" y="0"/>
                      <a:ext cx="2406015" cy="1800225"/>
                    </a:xfrm>
                    <a:prstGeom prst="rect">
                      <a:avLst/>
                    </a:prstGeom>
                    <a:noFill/>
                    <a:ln>
                      <a:noFill/>
                    </a:ln>
                  </pic:spPr>
                </pic:pic>
              </a:graphicData>
            </a:graphic>
          </wp:inline>
        </w:drawing>
      </w:r>
    </w:p>
    <w:p w:rsidR="0000699C" w:rsidRDefault="000801E7">
      <w:pPr>
        <w:spacing w:line="276" w:lineRule="auto"/>
        <w:ind w:firstLineChars="200" w:firstLine="480"/>
        <w:jc w:val="center"/>
        <w:rPr>
          <w:rFonts w:ascii="Times New Roman" w:hAnsi="Times New Roman" w:cs="Times New Roman"/>
          <w:bCs/>
        </w:rPr>
      </w:pPr>
      <w:r>
        <w:rPr>
          <w:rFonts w:ascii="Times New Roman" w:hAnsi="Times New Roman" w:cs="Times New Roman"/>
          <w:bCs/>
        </w:rPr>
        <w:t>附</w:t>
      </w:r>
      <w:r>
        <w:rPr>
          <w:rFonts w:ascii="Times New Roman" w:hAnsi="Times New Roman" w:cs="Times New Roman"/>
          <w:bCs/>
        </w:rPr>
        <w:t>图</w:t>
      </w:r>
      <w:r>
        <w:rPr>
          <w:rFonts w:ascii="Times New Roman" w:hAnsi="Times New Roman" w:cs="Times New Roman"/>
          <w:bCs/>
        </w:rPr>
        <w:t>1-</w:t>
      </w:r>
      <w:r>
        <w:rPr>
          <w:rFonts w:ascii="Times New Roman" w:hAnsi="Times New Roman" w:cs="Times New Roman"/>
          <w:bCs/>
        </w:rPr>
        <w:t xml:space="preserve">4 </w:t>
      </w:r>
      <w:r>
        <w:rPr>
          <w:rFonts w:ascii="Times New Roman" w:hAnsi="Times New Roman" w:cs="Times New Roman"/>
          <w:bCs/>
        </w:rPr>
        <w:t>基于</w:t>
      </w:r>
      <w:r>
        <w:rPr>
          <w:rFonts w:ascii="Times New Roman" w:hAnsi="Times New Roman" w:cs="Times New Roman"/>
          <w:bCs/>
        </w:rPr>
        <w:t>PMIE-2020</w:t>
      </w:r>
      <w:r>
        <w:rPr>
          <w:rFonts w:ascii="Times New Roman" w:hAnsi="Times New Roman" w:cs="Times New Roman"/>
          <w:bCs/>
        </w:rPr>
        <w:t>的残差随中子注量、中子注量率、辐照温度、化学元素</w:t>
      </w:r>
      <w:r>
        <w:rPr>
          <w:rFonts w:ascii="Times New Roman" w:hAnsi="Times New Roman" w:cs="Times New Roman"/>
          <w:bCs/>
        </w:rPr>
        <w:t>Cu</w:t>
      </w:r>
      <w:r>
        <w:rPr>
          <w:rFonts w:ascii="Times New Roman" w:hAnsi="Times New Roman" w:cs="Times New Roman"/>
          <w:bCs/>
        </w:rPr>
        <w:t>、</w:t>
      </w:r>
      <w:r>
        <w:rPr>
          <w:rFonts w:ascii="Times New Roman" w:hAnsi="Times New Roman" w:cs="Times New Roman"/>
          <w:bCs/>
        </w:rPr>
        <w:t>P</w:t>
      </w:r>
      <w:r>
        <w:rPr>
          <w:rFonts w:ascii="Times New Roman" w:hAnsi="Times New Roman" w:cs="Times New Roman"/>
          <w:bCs/>
        </w:rPr>
        <w:t>、</w:t>
      </w:r>
      <w:r>
        <w:rPr>
          <w:rFonts w:ascii="Times New Roman" w:hAnsi="Times New Roman" w:cs="Times New Roman"/>
          <w:bCs/>
        </w:rPr>
        <w:t>Mn</w:t>
      </w:r>
      <w:r>
        <w:rPr>
          <w:rFonts w:ascii="Times New Roman" w:hAnsi="Times New Roman" w:cs="Times New Roman"/>
          <w:bCs/>
        </w:rPr>
        <w:t>、</w:t>
      </w:r>
      <w:r>
        <w:rPr>
          <w:rFonts w:ascii="Times New Roman" w:hAnsi="Times New Roman" w:cs="Times New Roman"/>
          <w:bCs/>
        </w:rPr>
        <w:t>Ni</w:t>
      </w:r>
      <w:r>
        <w:rPr>
          <w:rFonts w:ascii="Times New Roman" w:hAnsi="Times New Roman" w:cs="Times New Roman"/>
          <w:bCs/>
        </w:rPr>
        <w:t>、</w:t>
      </w:r>
      <w:r>
        <w:rPr>
          <w:rFonts w:ascii="Times New Roman" w:hAnsi="Times New Roman" w:cs="Times New Roman"/>
          <w:bCs/>
        </w:rPr>
        <w:t>Si</w:t>
      </w:r>
      <w:r>
        <w:rPr>
          <w:rFonts w:ascii="Times New Roman" w:hAnsi="Times New Roman" w:cs="Times New Roman"/>
          <w:bCs/>
        </w:rPr>
        <w:t>的变化关系</w:t>
      </w:r>
    </w:p>
    <w:p w:rsidR="0000699C" w:rsidRDefault="0000699C">
      <w:pPr>
        <w:spacing w:line="276" w:lineRule="auto"/>
        <w:ind w:firstLineChars="200" w:firstLine="482"/>
        <w:jc w:val="center"/>
        <w:rPr>
          <w:rFonts w:ascii="Times New Roman" w:hAnsi="Times New Roman" w:cs="Times New Roman"/>
          <w:b/>
        </w:rPr>
      </w:pPr>
    </w:p>
    <w:p w:rsidR="0000699C" w:rsidRDefault="000801E7">
      <w:pPr>
        <w:spacing w:line="276" w:lineRule="auto"/>
        <w:ind w:firstLineChars="200" w:firstLine="480"/>
        <w:rPr>
          <w:rFonts w:ascii="Times New Roman" w:hAnsi="Times New Roman" w:cs="Times New Roman"/>
          <w:color w:val="000000"/>
        </w:rPr>
      </w:pPr>
      <w:r>
        <w:rPr>
          <w:rFonts w:ascii="Times New Roman" w:hAnsi="Times New Roman" w:cs="Times New Roman"/>
          <w:color w:val="000000"/>
        </w:rPr>
        <w:lastRenderedPageBreak/>
        <w:t>PMIE-2020</w:t>
      </w:r>
      <w:r>
        <w:rPr>
          <w:rFonts w:ascii="Times New Roman" w:hAnsi="Times New Roman" w:cs="Times New Roman"/>
          <w:color w:val="000000"/>
        </w:rPr>
        <w:t>的标准差为</w:t>
      </w:r>
      <w:r>
        <w:rPr>
          <w:rFonts w:ascii="Times New Roman" w:hAnsi="Times New Roman" w:cs="Times New Roman"/>
          <w:color w:val="000000"/>
        </w:rPr>
        <w:t>10.81 ℃</w:t>
      </w:r>
      <w:r>
        <w:rPr>
          <w:rFonts w:ascii="Times New Roman" w:hAnsi="Times New Roman" w:cs="Times New Roman"/>
          <w:color w:val="000000"/>
        </w:rPr>
        <w:t>，小于</w:t>
      </w:r>
      <w:r>
        <w:rPr>
          <w:rFonts w:ascii="Times New Roman" w:hAnsi="Times New Roman" w:cs="Times New Roman"/>
          <w:color w:val="000000"/>
        </w:rPr>
        <w:t>RG1.99</w:t>
      </w:r>
      <w:r>
        <w:rPr>
          <w:rFonts w:ascii="Times New Roman" w:hAnsi="Times New Roman" w:cs="Times New Roman"/>
          <w:color w:val="000000"/>
        </w:rPr>
        <w:t>（</w:t>
      </w:r>
      <w:r>
        <w:rPr>
          <w:rFonts w:ascii="Times New Roman" w:hAnsi="Times New Roman" w:cs="Times New Roman"/>
          <w:color w:val="000000"/>
        </w:rPr>
        <w:t>Rev. 2</w:t>
      </w:r>
      <w:r>
        <w:rPr>
          <w:rFonts w:ascii="Times New Roman" w:hAnsi="Times New Roman" w:cs="Times New Roman"/>
          <w:color w:val="000000"/>
        </w:rPr>
        <w:t>）、</w:t>
      </w:r>
      <w:r>
        <w:rPr>
          <w:rFonts w:ascii="Times New Roman" w:hAnsi="Times New Roman" w:cs="Times New Roman"/>
          <w:color w:val="000000"/>
        </w:rPr>
        <w:t>NUREG/CR-6551</w:t>
      </w:r>
      <w:r>
        <w:rPr>
          <w:rFonts w:ascii="Times New Roman" w:hAnsi="Times New Roman" w:cs="Times New Roman"/>
          <w:color w:val="000000"/>
        </w:rPr>
        <w:t>、</w:t>
      </w:r>
      <w:r>
        <w:rPr>
          <w:rFonts w:ascii="Times New Roman" w:hAnsi="Times New Roman" w:cs="Times New Roman"/>
          <w:color w:val="000000"/>
        </w:rPr>
        <w:t>ASTM E900-02</w:t>
      </w:r>
      <w:r>
        <w:rPr>
          <w:rFonts w:ascii="Times New Roman" w:hAnsi="Times New Roman" w:cs="Times New Roman"/>
          <w:color w:val="000000"/>
        </w:rPr>
        <w:t>、</w:t>
      </w:r>
      <w:r>
        <w:rPr>
          <w:rFonts w:ascii="Times New Roman" w:hAnsi="Times New Roman" w:cs="Times New Roman"/>
          <w:color w:val="000000"/>
        </w:rPr>
        <w:t>WR-C5</w:t>
      </w:r>
      <w:r>
        <w:rPr>
          <w:rFonts w:ascii="Times New Roman" w:hAnsi="Times New Roman" w:cs="Times New Roman"/>
          <w:color w:val="000000"/>
        </w:rPr>
        <w:t>及</w:t>
      </w:r>
      <w:r>
        <w:rPr>
          <w:rFonts w:ascii="Times New Roman" w:hAnsi="Times New Roman" w:cs="Times New Roman"/>
          <w:color w:val="000000"/>
        </w:rPr>
        <w:t>Eason</w:t>
      </w:r>
      <w:r>
        <w:rPr>
          <w:rFonts w:ascii="Times New Roman" w:hAnsi="Times New Roman" w:cs="Times New Roman"/>
          <w:color w:val="000000"/>
        </w:rPr>
        <w:t>模型的标准差（图</w:t>
      </w:r>
      <w:r>
        <w:rPr>
          <w:rFonts w:ascii="Times New Roman" w:hAnsi="Times New Roman" w:cs="Times New Roman"/>
          <w:color w:val="000000"/>
        </w:rPr>
        <w:t>1-5</w:t>
      </w:r>
      <w:r>
        <w:rPr>
          <w:rFonts w:ascii="Times New Roman" w:hAnsi="Times New Roman" w:cs="Times New Roman"/>
          <w:color w:val="000000"/>
        </w:rPr>
        <w:t>），表明</w:t>
      </w:r>
      <w:r>
        <w:rPr>
          <w:rFonts w:ascii="Times New Roman" w:hAnsi="Times New Roman" w:cs="Times New Roman"/>
          <w:color w:val="000000"/>
        </w:rPr>
        <w:t>PMIE-2020</w:t>
      </w:r>
      <w:r>
        <w:rPr>
          <w:rFonts w:ascii="Times New Roman" w:hAnsi="Times New Roman" w:cs="Times New Roman"/>
          <w:color w:val="000000"/>
        </w:rPr>
        <w:t>的准确性略高于当前国际主流预测模型。</w:t>
      </w:r>
    </w:p>
    <w:p w:rsidR="0000699C" w:rsidRDefault="000801E7">
      <w:pPr>
        <w:widowControl w:val="0"/>
        <w:spacing w:line="276" w:lineRule="auto"/>
        <w:ind w:firstLineChars="200" w:firstLine="480"/>
        <w:jc w:val="center"/>
        <w:rPr>
          <w:rFonts w:ascii="Times New Roman" w:hAnsi="Times New Roman" w:cs="Times New Roman"/>
        </w:rPr>
      </w:pPr>
      <w:r>
        <w:rPr>
          <w:rFonts w:ascii="Times New Roman" w:hAnsi="Times New Roman" w:cs="Times New Roman"/>
          <w:noProof/>
        </w:rPr>
        <w:drawing>
          <wp:inline distT="0" distB="0" distL="114300" distR="114300">
            <wp:extent cx="2921635" cy="1928495"/>
            <wp:effectExtent l="0" t="0" r="12065" b="1460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20"/>
                    <a:stretch>
                      <a:fillRect/>
                    </a:stretch>
                  </pic:blipFill>
                  <pic:spPr>
                    <a:xfrm>
                      <a:off x="0" y="0"/>
                      <a:ext cx="2921635" cy="1928495"/>
                    </a:xfrm>
                    <a:prstGeom prst="rect">
                      <a:avLst/>
                    </a:prstGeom>
                    <a:noFill/>
                    <a:ln>
                      <a:noFill/>
                    </a:ln>
                  </pic:spPr>
                </pic:pic>
              </a:graphicData>
            </a:graphic>
          </wp:inline>
        </w:drawing>
      </w:r>
    </w:p>
    <w:p w:rsidR="0000699C" w:rsidRDefault="000801E7">
      <w:pPr>
        <w:widowControl w:val="0"/>
        <w:spacing w:line="276" w:lineRule="auto"/>
        <w:ind w:firstLineChars="200" w:firstLine="480"/>
        <w:jc w:val="center"/>
        <w:rPr>
          <w:rFonts w:ascii="Times New Roman" w:hAnsi="Times New Roman" w:cs="Times New Roman"/>
        </w:rPr>
      </w:pPr>
      <w:r>
        <w:rPr>
          <w:rFonts w:ascii="Times New Roman" w:hAnsi="Times New Roman" w:cs="Times New Roman"/>
        </w:rPr>
        <w:t>附图</w:t>
      </w:r>
      <w:r>
        <w:rPr>
          <w:rFonts w:ascii="Times New Roman" w:hAnsi="Times New Roman" w:cs="Times New Roman"/>
        </w:rPr>
        <w:t xml:space="preserve">1-5 </w:t>
      </w:r>
      <w:r>
        <w:rPr>
          <w:rFonts w:ascii="Times New Roman" w:hAnsi="Times New Roman" w:cs="Times New Roman"/>
        </w:rPr>
        <w:t>不同预测模型标准差分析</w:t>
      </w:r>
    </w:p>
    <w:p w:rsidR="0000699C" w:rsidRDefault="0000699C">
      <w:pPr>
        <w:widowControl w:val="0"/>
        <w:spacing w:line="276" w:lineRule="auto"/>
        <w:ind w:firstLineChars="200" w:firstLine="482"/>
        <w:jc w:val="center"/>
        <w:rPr>
          <w:rFonts w:ascii="Times New Roman" w:hAnsi="Times New Roman" w:cs="Times New Roman"/>
          <w:b/>
          <w:bCs/>
        </w:rPr>
      </w:pPr>
    </w:p>
    <w:p w:rsidR="0000699C" w:rsidRDefault="000801E7">
      <w:pPr>
        <w:spacing w:line="276" w:lineRule="auto"/>
        <w:ind w:firstLineChars="200" w:firstLine="480"/>
        <w:rPr>
          <w:rFonts w:ascii="Times New Roman" w:hAnsi="Times New Roman" w:cs="Times New Roman"/>
          <w:b/>
          <w:kern w:val="0"/>
        </w:rPr>
      </w:pPr>
      <w:r>
        <w:rPr>
          <w:rFonts w:ascii="Times New Roman" w:hAnsi="Times New Roman" w:cs="Times New Roman"/>
          <w:color w:val="000000"/>
        </w:rPr>
        <w:t>附图</w:t>
      </w:r>
      <w:r>
        <w:rPr>
          <w:rFonts w:ascii="Times New Roman" w:hAnsi="Times New Roman" w:cs="Times New Roman"/>
          <w:color w:val="000000"/>
        </w:rPr>
        <w:t>1-6</w:t>
      </w:r>
      <w:r>
        <w:rPr>
          <w:rFonts w:ascii="Times New Roman" w:hAnsi="Times New Roman" w:cs="Times New Roman"/>
          <w:color w:val="000000"/>
        </w:rPr>
        <w:t>为</w:t>
      </w:r>
      <w:r>
        <w:rPr>
          <w:rFonts w:ascii="Times New Roman" w:hAnsi="Times New Roman" w:cs="Times New Roman"/>
          <w:color w:val="000000"/>
        </w:rPr>
        <w:t>PMIE-2020</w:t>
      </w:r>
      <w:r>
        <w:rPr>
          <w:rFonts w:ascii="Times New Roman" w:hAnsi="Times New Roman" w:cs="Times New Roman"/>
          <w:kern w:val="0"/>
        </w:rPr>
        <w:t>预测值与试验值的分布图。</w:t>
      </w:r>
      <w:r>
        <w:rPr>
          <w:rFonts w:ascii="Times New Roman" w:hAnsi="Times New Roman" w:cs="Times New Roman"/>
          <w:color w:val="000000"/>
        </w:rPr>
        <w:t>从图可知，</w:t>
      </w:r>
      <w:r>
        <w:rPr>
          <w:rFonts w:ascii="Times New Roman" w:hAnsi="Times New Roman" w:cs="Times New Roman"/>
          <w:color w:val="000000"/>
        </w:rPr>
        <w:t>PMIE-2020</w:t>
      </w:r>
      <w:r>
        <w:rPr>
          <w:rFonts w:ascii="Times New Roman" w:hAnsi="Times New Roman" w:cs="Times New Roman"/>
          <w:kern w:val="0"/>
        </w:rPr>
        <w:t>预测值</w:t>
      </w:r>
      <w:r>
        <w:rPr>
          <w:rFonts w:ascii="Times New Roman" w:hAnsi="Times New Roman" w:cs="Times New Roman"/>
          <w:color w:val="000000"/>
        </w:rPr>
        <w:t>与试验值数据具有较好的一致性，大部分数据点落在</w:t>
      </w:r>
      <w:r>
        <w:rPr>
          <w:rFonts w:ascii="Times New Roman" w:hAnsi="Times New Roman" w:cs="Times New Roman"/>
          <w:color w:val="000000"/>
        </w:rPr>
        <w:t>45°</w:t>
      </w:r>
      <w:r>
        <w:rPr>
          <w:rFonts w:ascii="Times New Roman" w:hAnsi="Times New Roman" w:cs="Times New Roman"/>
          <w:color w:val="000000"/>
        </w:rPr>
        <w:t>线附近区域，且分布比较均匀，基本处于</w:t>
      </w:r>
      <w:r>
        <w:rPr>
          <w:rFonts w:ascii="Times New Roman" w:hAnsi="Times New Roman" w:cs="Times New Roman"/>
          <w:color w:val="000000"/>
        </w:rPr>
        <w:t>PMIE-2020</w:t>
      </w:r>
      <w:r>
        <w:rPr>
          <w:rFonts w:ascii="Times New Roman" w:hAnsi="Times New Roman" w:cs="Times New Roman"/>
          <w:color w:val="000000"/>
        </w:rPr>
        <w:t>的</w:t>
      </w:r>
      <w:r>
        <w:rPr>
          <w:rFonts w:ascii="Times New Roman" w:hAnsi="Times New Roman" w:cs="Times New Roman"/>
        </w:rPr>
        <w:t>95%</w:t>
      </w:r>
      <w:r>
        <w:rPr>
          <w:rFonts w:ascii="Times New Roman" w:hAnsi="Times New Roman" w:cs="Times New Roman"/>
        </w:rPr>
        <w:t>置信区间</w:t>
      </w:r>
      <w:r>
        <w:rPr>
          <w:rFonts w:ascii="Times New Roman" w:hAnsi="Times New Roman" w:cs="Times New Roman"/>
          <w:color w:val="000000"/>
        </w:rPr>
        <w:t>以内，表明</w:t>
      </w:r>
      <w:r>
        <w:rPr>
          <w:rFonts w:ascii="Times New Roman" w:hAnsi="Times New Roman" w:cs="Times New Roman"/>
          <w:color w:val="000000"/>
        </w:rPr>
        <w:t>PMIE-2020</w:t>
      </w:r>
      <w:r>
        <w:rPr>
          <w:rFonts w:ascii="Times New Roman" w:hAnsi="Times New Roman" w:cs="Times New Roman"/>
          <w:color w:val="000000"/>
        </w:rPr>
        <w:t>对</w:t>
      </w:r>
      <w:r>
        <w:rPr>
          <w:rFonts w:ascii="Times New Roman" w:hAnsi="Times New Roman" w:cs="Times New Roman"/>
          <w:color w:val="000000"/>
        </w:rPr>
        <w:t>RPV</w:t>
      </w:r>
      <w:r>
        <w:rPr>
          <w:rFonts w:ascii="Times New Roman" w:hAnsi="Times New Roman" w:cs="Times New Roman"/>
          <w:color w:val="000000"/>
        </w:rPr>
        <w:t>钢的辐照脆化趋势预测具有较高的准确性和可靠性</w:t>
      </w:r>
      <w:r>
        <w:rPr>
          <w:rFonts w:ascii="Times New Roman" w:hAnsi="Times New Roman" w:cs="Times New Roman"/>
          <w:color w:val="000000"/>
        </w:rPr>
        <w:t>。</w:t>
      </w:r>
    </w:p>
    <w:p w:rsidR="0000699C" w:rsidRDefault="000801E7">
      <w:pPr>
        <w:spacing w:line="276" w:lineRule="auto"/>
        <w:ind w:firstLineChars="200" w:firstLine="480"/>
        <w:jc w:val="center"/>
        <w:rPr>
          <w:rFonts w:ascii="Times New Roman" w:hAnsi="Times New Roman" w:cs="Times New Roman"/>
        </w:rPr>
      </w:pPr>
      <w:r>
        <w:rPr>
          <w:rFonts w:ascii="Times New Roman" w:hAnsi="Times New Roman" w:cs="Times New Roman"/>
          <w:noProof/>
        </w:rPr>
        <w:drawing>
          <wp:inline distT="0" distB="0" distL="114300" distR="114300">
            <wp:extent cx="3296285" cy="2393315"/>
            <wp:effectExtent l="0" t="0" r="0" b="698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21"/>
                    <a:srcRect l="9049" t="15105" r="11735" b="2746"/>
                    <a:stretch>
                      <a:fillRect/>
                    </a:stretch>
                  </pic:blipFill>
                  <pic:spPr>
                    <a:xfrm>
                      <a:off x="0" y="0"/>
                      <a:ext cx="3296285" cy="2393315"/>
                    </a:xfrm>
                    <a:prstGeom prst="rect">
                      <a:avLst/>
                    </a:prstGeom>
                    <a:noFill/>
                    <a:ln>
                      <a:noFill/>
                    </a:ln>
                  </pic:spPr>
                </pic:pic>
              </a:graphicData>
            </a:graphic>
          </wp:inline>
        </w:drawing>
      </w:r>
    </w:p>
    <w:p w:rsidR="0000699C" w:rsidRDefault="000801E7">
      <w:pPr>
        <w:spacing w:line="276" w:lineRule="auto"/>
        <w:ind w:firstLineChars="200" w:firstLine="480"/>
        <w:jc w:val="center"/>
        <w:rPr>
          <w:rFonts w:ascii="Times New Roman" w:hAnsi="Times New Roman" w:cs="Times New Roman"/>
          <w:bCs/>
          <w:kern w:val="0"/>
        </w:rPr>
      </w:pPr>
      <w:r>
        <w:rPr>
          <w:rFonts w:ascii="Times New Roman" w:hAnsi="Times New Roman" w:cs="Times New Roman"/>
          <w:bCs/>
          <w:kern w:val="0"/>
        </w:rPr>
        <w:t>图</w:t>
      </w:r>
      <w:r>
        <w:rPr>
          <w:rFonts w:ascii="Times New Roman" w:hAnsi="Times New Roman" w:cs="Times New Roman"/>
          <w:bCs/>
          <w:kern w:val="0"/>
        </w:rPr>
        <w:t>1-6</w:t>
      </w:r>
      <w:r>
        <w:rPr>
          <w:rFonts w:ascii="Times New Roman" w:hAnsi="Times New Roman" w:cs="Times New Roman"/>
          <w:bCs/>
          <w:kern w:val="0"/>
        </w:rPr>
        <w:t xml:space="preserve"> </w:t>
      </w:r>
      <w:r>
        <w:rPr>
          <w:rFonts w:ascii="Times New Roman" w:hAnsi="Times New Roman" w:cs="Times New Roman"/>
          <w:bCs/>
          <w:kern w:val="0"/>
        </w:rPr>
        <w:t>基于</w:t>
      </w:r>
      <w:r>
        <w:rPr>
          <w:rFonts w:ascii="Times New Roman" w:hAnsi="Times New Roman" w:cs="Times New Roman"/>
          <w:bCs/>
          <w:kern w:val="0"/>
        </w:rPr>
        <w:t>PMIE-2020</w:t>
      </w:r>
      <w:r>
        <w:rPr>
          <w:rFonts w:ascii="Times New Roman" w:hAnsi="Times New Roman" w:cs="Times New Roman"/>
          <w:bCs/>
          <w:kern w:val="0"/>
        </w:rPr>
        <w:t>的预测值与试验值比较</w:t>
      </w:r>
    </w:p>
    <w:p w:rsidR="0000699C" w:rsidRDefault="0000699C">
      <w:pPr>
        <w:spacing w:line="276" w:lineRule="auto"/>
        <w:ind w:firstLineChars="200" w:firstLine="482"/>
        <w:jc w:val="center"/>
        <w:rPr>
          <w:rFonts w:ascii="Times New Roman" w:hAnsi="Times New Roman" w:cs="Times New Roman"/>
          <w:b/>
          <w:kern w:val="0"/>
        </w:rPr>
      </w:pPr>
    </w:p>
    <w:p w:rsidR="0000699C" w:rsidRDefault="0000699C">
      <w:pPr>
        <w:autoSpaceDE w:val="0"/>
        <w:autoSpaceDN w:val="0"/>
        <w:adjustRightInd w:val="0"/>
        <w:spacing w:line="276" w:lineRule="auto"/>
        <w:ind w:firstLine="480"/>
        <w:rPr>
          <w:rFonts w:ascii="Times New Roman" w:hAnsi="Times New Roman" w:cs="Times New Roman"/>
          <w:color w:val="000000"/>
        </w:rPr>
      </w:pPr>
    </w:p>
    <w:p w:rsidR="0000699C" w:rsidRDefault="000801E7">
      <w:pPr>
        <w:rPr>
          <w:b/>
          <w:bCs/>
        </w:rPr>
      </w:pPr>
      <w:r>
        <w:rPr>
          <w:b/>
          <w:bCs/>
        </w:rPr>
        <w:t>4</w:t>
      </w:r>
      <w:r>
        <w:rPr>
          <w:rFonts w:hint="eastAsia"/>
          <w:b/>
          <w:bCs/>
        </w:rPr>
        <w:t>）、</w:t>
      </w:r>
      <w:r>
        <w:rPr>
          <w:b/>
          <w:bCs/>
        </w:rPr>
        <w:t>模型可靠性评估</w:t>
      </w:r>
    </w:p>
    <w:p w:rsidR="0000699C" w:rsidRDefault="000801E7">
      <w:pPr>
        <w:widowControl w:val="0"/>
        <w:spacing w:line="276" w:lineRule="auto"/>
        <w:ind w:firstLine="400"/>
        <w:jc w:val="both"/>
        <w:rPr>
          <w:rFonts w:ascii="Times New Roman" w:hAnsi="Times New Roman" w:cs="Times New Roman"/>
        </w:rPr>
      </w:pPr>
      <w:r>
        <w:rPr>
          <w:rFonts w:ascii="Times New Roman" w:hAnsi="Times New Roman" w:cs="Times New Roman"/>
          <w:lang w:bidi="ar"/>
        </w:rPr>
        <w:t>PMIE-2020</w:t>
      </w:r>
      <w:r>
        <w:rPr>
          <w:rFonts w:ascii="Times New Roman" w:hAnsi="Times New Roman" w:cs="Times New Roman"/>
          <w:lang w:bidi="ar"/>
        </w:rPr>
        <w:t>的适用于低</w:t>
      </w:r>
      <w:r>
        <w:rPr>
          <w:rFonts w:ascii="Times New Roman" w:hAnsi="Times New Roman" w:cs="Times New Roman"/>
          <w:lang w:bidi="ar"/>
        </w:rPr>
        <w:t>Cu RPV</w:t>
      </w:r>
      <w:r>
        <w:rPr>
          <w:rFonts w:ascii="Times New Roman" w:hAnsi="Times New Roman" w:cs="Times New Roman"/>
          <w:lang w:bidi="ar"/>
        </w:rPr>
        <w:t>辐照脆化预测评估，</w:t>
      </w:r>
      <w:bookmarkStart w:id="2" w:name="OLE_LINK23"/>
      <w:bookmarkStart w:id="3" w:name="OLE_LINK24"/>
      <w:r>
        <w:rPr>
          <w:rFonts w:ascii="Times New Roman" w:hAnsi="Times New Roman" w:cs="Times New Roman"/>
          <w:lang w:bidi="ar"/>
        </w:rPr>
        <w:t>在</w:t>
      </w:r>
      <w:r>
        <w:rPr>
          <w:rStyle w:val="patentcontentblock1"/>
          <w:rFonts w:ascii="Times New Roman" w:hAnsi="Times New Roman" w:cs="Times New Roman"/>
          <w:sz w:val="24"/>
          <w:szCs w:val="24"/>
          <w:lang w:bidi="ar"/>
        </w:rPr>
        <w:t>5×10</w:t>
      </w:r>
      <w:r>
        <w:rPr>
          <w:rStyle w:val="patentcontentblock1"/>
          <w:rFonts w:ascii="Times New Roman" w:hAnsi="Times New Roman" w:cs="Times New Roman"/>
          <w:sz w:val="24"/>
          <w:szCs w:val="24"/>
          <w:vertAlign w:val="superscript"/>
          <w:lang w:bidi="ar"/>
        </w:rPr>
        <w:t>10</w:t>
      </w:r>
      <w:r>
        <w:rPr>
          <w:rStyle w:val="patentcontentblock1"/>
          <w:rFonts w:ascii="Times New Roman" w:hAnsi="Times New Roman" w:cs="Times New Roman"/>
          <w:sz w:val="24"/>
          <w:szCs w:val="24"/>
          <w:lang w:bidi="ar"/>
        </w:rPr>
        <w:t>~1×10</w:t>
      </w:r>
      <w:r>
        <w:rPr>
          <w:rStyle w:val="patentcontentblock1"/>
          <w:rFonts w:ascii="Times New Roman" w:hAnsi="Times New Roman" w:cs="Times New Roman"/>
          <w:sz w:val="24"/>
          <w:szCs w:val="24"/>
          <w:vertAlign w:val="superscript"/>
          <w:lang w:bidi="ar"/>
        </w:rPr>
        <w:t>12</w:t>
      </w:r>
      <w:r>
        <w:rPr>
          <w:rStyle w:val="patentcontentblock1"/>
          <w:rFonts w:ascii="Times New Roman" w:hAnsi="Times New Roman" w:cs="Times New Roman"/>
          <w:sz w:val="24"/>
          <w:szCs w:val="24"/>
          <w:lang w:bidi="ar"/>
        </w:rPr>
        <w:t xml:space="preserve"> n•cm</w:t>
      </w:r>
      <w:r>
        <w:rPr>
          <w:rStyle w:val="patentcontentblock1"/>
          <w:rFonts w:ascii="Times New Roman" w:hAnsi="Times New Roman" w:cs="Times New Roman"/>
          <w:sz w:val="24"/>
          <w:szCs w:val="24"/>
          <w:vertAlign w:val="superscript"/>
          <w:lang w:bidi="ar"/>
        </w:rPr>
        <w:t>-2</w:t>
      </w:r>
      <w:r>
        <w:rPr>
          <w:rStyle w:val="patentcontentblock1"/>
          <w:rFonts w:ascii="Times New Roman" w:hAnsi="Times New Roman" w:cs="Times New Roman"/>
          <w:sz w:val="24"/>
          <w:szCs w:val="24"/>
          <w:lang w:bidi="ar"/>
        </w:rPr>
        <w:t>•s</w:t>
      </w:r>
      <w:r>
        <w:rPr>
          <w:rStyle w:val="patentcontentblock1"/>
          <w:rFonts w:ascii="Times New Roman" w:hAnsi="Times New Roman" w:cs="Times New Roman"/>
          <w:sz w:val="24"/>
          <w:szCs w:val="24"/>
          <w:vertAlign w:val="superscript"/>
          <w:lang w:bidi="ar"/>
        </w:rPr>
        <w:t>-1</w:t>
      </w:r>
      <w:r>
        <w:rPr>
          <w:rStyle w:val="patentcontentblock1"/>
          <w:rFonts w:ascii="Times New Roman" w:hAnsi="Times New Roman" w:cs="Times New Roman"/>
          <w:sz w:val="24"/>
          <w:szCs w:val="24"/>
          <w:lang w:bidi="ar"/>
        </w:rPr>
        <w:t>条件下</w:t>
      </w:r>
      <w:r>
        <w:rPr>
          <w:rFonts w:ascii="Times New Roman" w:hAnsi="Times New Roman" w:cs="Times New Roman"/>
          <w:color w:val="000000"/>
          <w:lang w:bidi="ar"/>
        </w:rPr>
        <w:t>，根据</w:t>
      </w:r>
      <w:r>
        <w:rPr>
          <w:rFonts w:ascii="Times New Roman" w:hAnsi="Times New Roman" w:cs="Times New Roman"/>
          <w:color w:val="000000"/>
          <w:lang w:bidi="ar"/>
        </w:rPr>
        <w:t>R</w:t>
      </w:r>
      <w:r>
        <w:rPr>
          <w:rFonts w:ascii="Times New Roman" w:hAnsi="Times New Roman" w:cs="Times New Roman"/>
          <w:color w:val="000000"/>
          <w:lang w:bidi="ar"/>
        </w:rPr>
        <w:t>分析结果，表明不存在明显的中子注量率效应。</w:t>
      </w:r>
      <w:bookmarkEnd w:id="2"/>
      <w:bookmarkEnd w:id="3"/>
    </w:p>
    <w:p w:rsidR="0000699C" w:rsidRDefault="000801E7">
      <w:pPr>
        <w:spacing w:line="276" w:lineRule="auto"/>
        <w:ind w:firstLine="435"/>
        <w:rPr>
          <w:rFonts w:ascii="Times New Roman" w:hAnsi="Times New Roman" w:cs="Times New Roman"/>
        </w:rPr>
      </w:pPr>
      <w:r>
        <w:rPr>
          <w:rFonts w:ascii="Times New Roman" w:hAnsi="Times New Roman" w:cs="Times New Roman"/>
          <w:lang w:bidi="ar"/>
        </w:rPr>
        <w:t>图</w:t>
      </w:r>
      <w:r>
        <w:rPr>
          <w:rFonts w:ascii="Times New Roman" w:hAnsi="Times New Roman" w:cs="Times New Roman"/>
          <w:lang w:bidi="ar"/>
        </w:rPr>
        <w:t>1-7</w:t>
      </w:r>
      <w:r>
        <w:rPr>
          <w:rFonts w:ascii="Times New Roman" w:hAnsi="Times New Roman" w:cs="Times New Roman"/>
          <w:lang w:bidi="ar"/>
        </w:rPr>
        <w:t>为</w:t>
      </w:r>
      <w:r>
        <w:rPr>
          <w:rFonts w:ascii="Times New Roman" w:hAnsi="Times New Roman" w:cs="Times New Roman"/>
          <w:lang w:bidi="ar"/>
        </w:rPr>
        <w:t>ΔRT</w:t>
      </w:r>
      <w:r>
        <w:rPr>
          <w:rFonts w:ascii="Times New Roman" w:hAnsi="Times New Roman" w:cs="Times New Roman"/>
          <w:vertAlign w:val="subscript"/>
          <w:lang w:bidi="ar"/>
        </w:rPr>
        <w:t>NDT</w:t>
      </w:r>
      <w:r>
        <w:rPr>
          <w:rFonts w:ascii="Times New Roman" w:hAnsi="Times New Roman" w:cs="Times New Roman"/>
          <w:lang w:bidi="ar"/>
        </w:rPr>
        <w:t>随辐照温度的变化关系，结果表明，较高的辐照温度将导致较小的辐照脆化效应，在</w:t>
      </w:r>
      <w:r>
        <w:rPr>
          <w:rFonts w:ascii="Times New Roman" w:hAnsi="Times New Roman" w:cs="Times New Roman"/>
          <w:lang w:bidi="ar"/>
        </w:rPr>
        <w:t>275-292℃</w:t>
      </w:r>
      <w:r>
        <w:rPr>
          <w:rFonts w:ascii="Times New Roman" w:hAnsi="Times New Roman" w:cs="Times New Roman"/>
          <w:lang w:bidi="ar"/>
        </w:rPr>
        <w:t>范围条件内，辐照温度每增加</w:t>
      </w:r>
      <w:r>
        <w:rPr>
          <w:rFonts w:ascii="Times New Roman" w:hAnsi="Times New Roman" w:cs="Times New Roman"/>
          <w:lang w:bidi="ar"/>
        </w:rPr>
        <w:t>1℃</w:t>
      </w:r>
      <w:r>
        <w:rPr>
          <w:rFonts w:ascii="Times New Roman" w:hAnsi="Times New Roman" w:cs="Times New Roman"/>
          <w:lang w:bidi="ar"/>
        </w:rPr>
        <w:t>，</w:t>
      </w:r>
      <w:r>
        <w:rPr>
          <w:rFonts w:ascii="Times New Roman" w:hAnsi="Times New Roman" w:cs="Times New Roman"/>
          <w:lang w:bidi="ar"/>
        </w:rPr>
        <w:t>ΔRT</w:t>
      </w:r>
      <w:r>
        <w:rPr>
          <w:rFonts w:ascii="Times New Roman" w:hAnsi="Times New Roman" w:cs="Times New Roman"/>
          <w:vertAlign w:val="subscript"/>
          <w:lang w:bidi="ar"/>
        </w:rPr>
        <w:t>NDT</w:t>
      </w:r>
      <w:r>
        <w:rPr>
          <w:rFonts w:ascii="Times New Roman" w:hAnsi="Times New Roman" w:cs="Times New Roman"/>
          <w:lang w:bidi="ar"/>
        </w:rPr>
        <w:t>降低</w:t>
      </w:r>
      <w:r>
        <w:rPr>
          <w:rFonts w:ascii="Times New Roman" w:hAnsi="Times New Roman" w:cs="Times New Roman"/>
          <w:lang w:bidi="ar"/>
        </w:rPr>
        <w:t>0.35℃</w:t>
      </w:r>
      <w:r>
        <w:rPr>
          <w:rFonts w:ascii="Times New Roman" w:hAnsi="Times New Roman" w:cs="Times New Roman"/>
          <w:lang w:bidi="ar"/>
        </w:rPr>
        <w:t>。辐照脆化与温度负相关。</w:t>
      </w:r>
      <w:r>
        <w:rPr>
          <w:rFonts w:ascii="Times New Roman" w:hAnsi="Times New Roman" w:cs="Times New Roman"/>
          <w:lang w:bidi="ar"/>
        </w:rPr>
        <w:t>Mn</w:t>
      </w:r>
      <w:r>
        <w:rPr>
          <w:rFonts w:ascii="Times New Roman" w:hAnsi="Times New Roman" w:cs="Times New Roman"/>
          <w:lang w:bidi="ar"/>
        </w:rPr>
        <w:t>含量从</w:t>
      </w:r>
      <w:r>
        <w:rPr>
          <w:rFonts w:ascii="Times New Roman" w:hAnsi="Times New Roman" w:cs="Times New Roman"/>
          <w:lang w:bidi="ar"/>
        </w:rPr>
        <w:t>1.2%</w:t>
      </w:r>
      <w:r>
        <w:rPr>
          <w:rFonts w:ascii="Times New Roman" w:hAnsi="Times New Roman" w:cs="Times New Roman"/>
          <w:lang w:bidi="ar"/>
        </w:rPr>
        <w:t>降低到</w:t>
      </w:r>
      <w:r>
        <w:rPr>
          <w:rFonts w:ascii="Times New Roman" w:hAnsi="Times New Roman" w:cs="Times New Roman"/>
          <w:lang w:bidi="ar"/>
        </w:rPr>
        <w:t>1.0%</w:t>
      </w:r>
      <w:r>
        <w:rPr>
          <w:rFonts w:ascii="Times New Roman" w:hAnsi="Times New Roman" w:cs="Times New Roman"/>
          <w:lang w:bidi="ar"/>
        </w:rPr>
        <w:lastRenderedPageBreak/>
        <w:t>后，</w:t>
      </w:r>
      <w:r>
        <w:rPr>
          <w:rFonts w:ascii="Times New Roman" w:hAnsi="Times New Roman" w:cs="Times New Roman"/>
          <w:lang w:bidi="ar"/>
        </w:rPr>
        <w:t>ΔRT</w:t>
      </w:r>
      <w:r>
        <w:rPr>
          <w:rFonts w:ascii="Times New Roman" w:hAnsi="Times New Roman" w:cs="Times New Roman"/>
          <w:vertAlign w:val="subscript"/>
          <w:lang w:bidi="ar"/>
        </w:rPr>
        <w:t>NDT</w:t>
      </w:r>
      <w:r>
        <w:rPr>
          <w:rFonts w:ascii="Times New Roman" w:hAnsi="Times New Roman" w:cs="Times New Roman"/>
          <w:lang w:bidi="ar"/>
        </w:rPr>
        <w:t>的差值从</w:t>
      </w:r>
      <w:r>
        <w:rPr>
          <w:rFonts w:ascii="Times New Roman" w:hAnsi="Times New Roman" w:cs="Times New Roman"/>
          <w:lang w:bidi="ar"/>
        </w:rPr>
        <w:t>4.0℃</w:t>
      </w:r>
      <w:r>
        <w:rPr>
          <w:rFonts w:ascii="Times New Roman" w:hAnsi="Times New Roman" w:cs="Times New Roman"/>
          <w:lang w:bidi="ar"/>
        </w:rPr>
        <w:t>（</w:t>
      </w:r>
      <w:r>
        <w:rPr>
          <w:rFonts w:ascii="Times New Roman" w:hAnsi="Times New Roman" w:cs="Times New Roman"/>
          <w:lang w:bidi="ar"/>
        </w:rPr>
        <w:t>275℃</w:t>
      </w:r>
      <w:r>
        <w:rPr>
          <w:rFonts w:ascii="Times New Roman" w:hAnsi="Times New Roman" w:cs="Times New Roman"/>
          <w:lang w:bidi="ar"/>
        </w:rPr>
        <w:t>）降低到</w:t>
      </w:r>
      <w:r>
        <w:rPr>
          <w:rFonts w:ascii="Times New Roman" w:hAnsi="Times New Roman" w:cs="Times New Roman"/>
          <w:lang w:bidi="ar"/>
        </w:rPr>
        <w:t>3.5℃</w:t>
      </w:r>
      <w:r>
        <w:rPr>
          <w:rFonts w:ascii="Times New Roman" w:hAnsi="Times New Roman" w:cs="Times New Roman"/>
          <w:lang w:bidi="ar"/>
        </w:rPr>
        <w:t>（</w:t>
      </w:r>
      <w:r>
        <w:rPr>
          <w:rFonts w:ascii="Times New Roman" w:hAnsi="Times New Roman" w:cs="Times New Roman"/>
          <w:lang w:bidi="ar"/>
        </w:rPr>
        <w:t>292℃</w:t>
      </w:r>
      <w:r>
        <w:rPr>
          <w:rFonts w:ascii="Times New Roman" w:hAnsi="Times New Roman" w:cs="Times New Roman"/>
          <w:lang w:bidi="ar"/>
        </w:rPr>
        <w:t>），这是由于材料在辐照过程中，随着温度的提高，原子迁移能力加强，间隙原子与空位型缺陷复合湮灭几率增加，导致基体材料中缺陷浓度降低，不宜形成稳定的含</w:t>
      </w:r>
      <w:r>
        <w:rPr>
          <w:rFonts w:ascii="Times New Roman" w:hAnsi="Times New Roman" w:cs="Times New Roman"/>
          <w:lang w:bidi="ar"/>
        </w:rPr>
        <w:t>Mn</w:t>
      </w:r>
      <w:r>
        <w:rPr>
          <w:rFonts w:ascii="Times New Roman" w:hAnsi="Times New Roman" w:cs="Times New Roman"/>
          <w:lang w:bidi="ar"/>
        </w:rPr>
        <w:t>复杂缺陷，与辐照脆化物理机制分析一致。</w:t>
      </w:r>
    </w:p>
    <w:p w:rsidR="0000699C" w:rsidRDefault="000801E7">
      <w:pPr>
        <w:spacing w:line="276" w:lineRule="auto"/>
        <w:ind w:firstLine="435"/>
        <w:jc w:val="center"/>
        <w:rPr>
          <w:rFonts w:ascii="Times New Roman" w:hAnsi="Times New Roman" w:cs="Times New Roman"/>
        </w:rPr>
      </w:pPr>
      <w:r>
        <w:rPr>
          <w:rFonts w:ascii="Times New Roman" w:hAnsi="Times New Roman" w:cs="Times New Roman"/>
          <w:noProof/>
        </w:rPr>
        <w:drawing>
          <wp:inline distT="0" distB="0" distL="114300" distR="114300">
            <wp:extent cx="3295650" cy="2524125"/>
            <wp:effectExtent l="0" t="0" r="0" b="9525"/>
            <wp:docPr id="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9"/>
                    <pic:cNvPicPr>
                      <a:picLocks noChangeAspect="1"/>
                    </pic:cNvPicPr>
                  </pic:nvPicPr>
                  <pic:blipFill>
                    <a:blip r:embed="rId22"/>
                    <a:srcRect l="8116" t="8322" r="12692" b="5032"/>
                    <a:stretch>
                      <a:fillRect/>
                    </a:stretch>
                  </pic:blipFill>
                  <pic:spPr>
                    <a:xfrm>
                      <a:off x="0" y="0"/>
                      <a:ext cx="3295650" cy="2524125"/>
                    </a:xfrm>
                    <a:prstGeom prst="rect">
                      <a:avLst/>
                    </a:prstGeom>
                    <a:noFill/>
                    <a:ln>
                      <a:noFill/>
                    </a:ln>
                  </pic:spPr>
                </pic:pic>
              </a:graphicData>
            </a:graphic>
          </wp:inline>
        </w:drawing>
      </w:r>
    </w:p>
    <w:p w:rsidR="0000699C" w:rsidRDefault="0000699C">
      <w:pPr>
        <w:widowControl w:val="0"/>
        <w:spacing w:line="276" w:lineRule="auto"/>
        <w:ind w:firstLineChars="200" w:firstLine="480"/>
        <w:jc w:val="center"/>
        <w:rPr>
          <w:rFonts w:ascii="Times New Roman" w:hAnsi="Times New Roman" w:cs="Times New Roman"/>
        </w:rPr>
      </w:pPr>
    </w:p>
    <w:p w:rsidR="0000699C" w:rsidRDefault="000801E7">
      <w:pPr>
        <w:widowControl w:val="0"/>
        <w:spacing w:line="276" w:lineRule="auto"/>
        <w:ind w:firstLineChars="200" w:firstLine="480"/>
        <w:jc w:val="center"/>
        <w:rPr>
          <w:rFonts w:ascii="Times New Roman" w:hAnsi="Times New Roman" w:cs="Times New Roman"/>
          <w:lang w:bidi="ar"/>
        </w:rPr>
      </w:pPr>
      <w:r>
        <w:rPr>
          <w:rFonts w:ascii="Times New Roman" w:hAnsi="Times New Roman" w:cs="Times New Roman"/>
          <w:lang w:bidi="ar"/>
        </w:rPr>
        <w:t>图</w:t>
      </w:r>
      <w:r>
        <w:rPr>
          <w:rFonts w:ascii="Times New Roman" w:hAnsi="Times New Roman" w:cs="Times New Roman"/>
          <w:lang w:bidi="ar"/>
        </w:rPr>
        <w:t>1-</w:t>
      </w:r>
      <w:r>
        <w:rPr>
          <w:rFonts w:ascii="Times New Roman" w:hAnsi="Times New Roman" w:cs="Times New Roman" w:hint="eastAsia"/>
          <w:lang w:bidi="ar"/>
        </w:rPr>
        <w:t>7</w:t>
      </w:r>
      <w:r>
        <w:rPr>
          <w:rFonts w:ascii="Times New Roman" w:hAnsi="Times New Roman" w:cs="Times New Roman"/>
          <w:lang w:bidi="ar"/>
        </w:rPr>
        <w:t xml:space="preserve"> </w:t>
      </w:r>
      <w:r>
        <w:rPr>
          <w:rFonts w:ascii="Times New Roman" w:hAnsi="Times New Roman" w:cs="Times New Roman"/>
          <w:lang w:bidi="ar"/>
        </w:rPr>
        <w:t>不同</w:t>
      </w:r>
      <w:r>
        <w:rPr>
          <w:rFonts w:ascii="Times New Roman" w:hAnsi="Times New Roman" w:cs="Times New Roman"/>
          <w:lang w:bidi="ar"/>
        </w:rPr>
        <w:t>Mn</w:t>
      </w:r>
      <w:r>
        <w:rPr>
          <w:rFonts w:ascii="Times New Roman" w:hAnsi="Times New Roman" w:cs="Times New Roman"/>
          <w:lang w:bidi="ar"/>
        </w:rPr>
        <w:t>和</w:t>
      </w:r>
      <w:r>
        <w:rPr>
          <w:rFonts w:ascii="Times New Roman" w:hAnsi="Times New Roman" w:cs="Times New Roman"/>
          <w:lang w:bidi="ar"/>
        </w:rPr>
        <w:t>Ni</w:t>
      </w:r>
      <w:r>
        <w:rPr>
          <w:rFonts w:ascii="Times New Roman" w:hAnsi="Times New Roman" w:cs="Times New Roman"/>
          <w:lang w:bidi="ar"/>
        </w:rPr>
        <w:t>含量条件下辐照脆化随辐照温度的变化关系</w:t>
      </w:r>
    </w:p>
    <w:p w:rsidR="0000699C" w:rsidRDefault="0000699C">
      <w:pPr>
        <w:widowControl w:val="0"/>
        <w:spacing w:line="276" w:lineRule="auto"/>
        <w:ind w:firstLineChars="200" w:firstLine="480"/>
        <w:jc w:val="center"/>
        <w:rPr>
          <w:rFonts w:ascii="Times New Roman" w:hAnsi="Times New Roman" w:cs="Times New Roman"/>
          <w:lang w:bidi="ar"/>
        </w:rPr>
      </w:pPr>
    </w:p>
    <w:p w:rsidR="0000699C" w:rsidRDefault="000801E7">
      <w:pPr>
        <w:autoSpaceDE w:val="0"/>
        <w:autoSpaceDN w:val="0"/>
        <w:adjustRightInd w:val="0"/>
        <w:spacing w:line="276" w:lineRule="auto"/>
        <w:ind w:firstLine="480"/>
        <w:rPr>
          <w:rFonts w:ascii="Times New Roman" w:hAnsi="Times New Roman" w:cs="Times New Roman"/>
          <w:color w:val="000000"/>
        </w:rPr>
      </w:pPr>
      <w:r>
        <w:rPr>
          <w:rFonts w:ascii="Times New Roman" w:hAnsi="Times New Roman" w:cs="Times New Roman"/>
          <w:color w:val="000000"/>
        </w:rPr>
        <w:t>图</w:t>
      </w:r>
      <w:r>
        <w:rPr>
          <w:rFonts w:ascii="Times New Roman" w:hAnsi="Times New Roman" w:cs="Times New Roman"/>
          <w:color w:val="000000"/>
        </w:rPr>
        <w:t>1-</w:t>
      </w:r>
      <w:r>
        <w:rPr>
          <w:rFonts w:ascii="Times New Roman" w:hAnsi="Times New Roman" w:cs="Times New Roman" w:hint="eastAsia"/>
          <w:color w:val="000000"/>
        </w:rPr>
        <w:t>8</w:t>
      </w:r>
      <w:r>
        <w:rPr>
          <w:rFonts w:ascii="Times New Roman" w:hAnsi="Times New Roman" w:cs="Times New Roman"/>
          <w:color w:val="000000"/>
        </w:rPr>
        <w:t>为</w:t>
      </w:r>
      <w:r>
        <w:rPr>
          <w:rFonts w:ascii="Times New Roman" w:hAnsi="Times New Roman" w:cs="Times New Roman"/>
          <w:color w:val="000000"/>
        </w:rPr>
        <w:t>PMIE-2020</w:t>
      </w:r>
      <w:r>
        <w:rPr>
          <w:rFonts w:ascii="Times New Roman" w:hAnsi="Times New Roman" w:cs="Times New Roman"/>
          <w:color w:val="000000"/>
        </w:rPr>
        <w:t>和国外预测模型及辐照数据的比较，结果表明，</w:t>
      </w:r>
      <w:r>
        <w:rPr>
          <w:rFonts w:ascii="Times New Roman" w:hAnsi="Times New Roman" w:cs="Times New Roman"/>
          <w:color w:val="000000"/>
        </w:rPr>
        <w:t>PMIE-2020</w:t>
      </w:r>
      <w:r>
        <w:rPr>
          <w:rFonts w:ascii="Times New Roman" w:hAnsi="Times New Roman" w:cs="Times New Roman"/>
          <w:color w:val="000000"/>
        </w:rPr>
        <w:t>与</w:t>
      </w:r>
      <w:r>
        <w:rPr>
          <w:rFonts w:ascii="Times New Roman" w:hAnsi="Times New Roman" w:cs="Times New Roman"/>
          <w:color w:val="000000"/>
        </w:rPr>
        <w:t>RPV</w:t>
      </w:r>
      <w:r>
        <w:rPr>
          <w:rFonts w:ascii="Times New Roman" w:hAnsi="Times New Roman" w:cs="Times New Roman"/>
          <w:color w:val="000000"/>
        </w:rPr>
        <w:t>钢的辐照监督数据符合的较好，特别是在较高中子辐照条件下，考虑到了</w:t>
      </w:r>
      <w:r>
        <w:rPr>
          <w:rFonts w:ascii="Times New Roman" w:hAnsi="Times New Roman" w:cs="Times New Roman"/>
        </w:rPr>
        <w:t>后期激增的富</w:t>
      </w:r>
      <w:r>
        <w:rPr>
          <w:rFonts w:ascii="Times New Roman" w:hAnsi="Times New Roman" w:cs="Times New Roman"/>
        </w:rPr>
        <w:t>Mn-Ni-(Si)</w:t>
      </w:r>
      <w:r>
        <w:rPr>
          <w:rFonts w:ascii="Times New Roman" w:hAnsi="Times New Roman" w:cs="Times New Roman"/>
        </w:rPr>
        <w:t>团簇导致的辐照脆化</w:t>
      </w:r>
      <w:r>
        <w:rPr>
          <w:rFonts w:ascii="Times New Roman" w:hAnsi="Times New Roman" w:cs="Times New Roman"/>
          <w:color w:val="000000"/>
        </w:rPr>
        <w:t>，能够准确反映</w:t>
      </w:r>
      <w:r>
        <w:rPr>
          <w:rFonts w:ascii="Times New Roman" w:hAnsi="Times New Roman" w:cs="Times New Roman"/>
          <w:color w:val="000000"/>
        </w:rPr>
        <w:t>RPV</w:t>
      </w:r>
      <w:r>
        <w:rPr>
          <w:rFonts w:ascii="Times New Roman" w:hAnsi="Times New Roman" w:cs="Times New Roman"/>
          <w:color w:val="000000"/>
        </w:rPr>
        <w:t>钢的辐照脆化趋势。</w:t>
      </w:r>
    </w:p>
    <w:p w:rsidR="0000699C" w:rsidRDefault="000801E7">
      <w:pPr>
        <w:widowControl w:val="0"/>
        <w:spacing w:line="276" w:lineRule="auto"/>
        <w:ind w:firstLineChars="200" w:firstLine="480"/>
        <w:jc w:val="center"/>
        <w:rPr>
          <w:rFonts w:ascii="Times New Roman" w:hAnsi="Times New Roman" w:cs="Times New Roman"/>
        </w:rPr>
      </w:pPr>
      <w:r>
        <w:rPr>
          <w:rFonts w:ascii="Times New Roman" w:hAnsi="Times New Roman" w:cs="Times New Roman"/>
        </w:rPr>
        <w:object w:dxaOrig="6544" w:dyaOrig="4578">
          <v:shape id="_x0000_i1026" type="#_x0000_t75" style="width:327pt;height:228.75pt" o:ole="">
            <v:imagedata r:id="rId23" o:title=""/>
          </v:shape>
          <o:OLEObject Type="Embed" ProgID="Origin50.Graph" ShapeID="_x0000_i1026" DrawAspect="Content" ObjectID="_1728117638" r:id="rId24"/>
        </w:object>
      </w:r>
    </w:p>
    <w:p w:rsidR="0000699C" w:rsidRDefault="000801E7">
      <w:pPr>
        <w:widowControl w:val="0"/>
        <w:spacing w:line="276" w:lineRule="auto"/>
        <w:ind w:firstLineChars="200" w:firstLine="480"/>
        <w:jc w:val="center"/>
        <w:rPr>
          <w:rFonts w:ascii="Times New Roman" w:hAnsi="Times New Roman" w:cs="Times New Roman"/>
        </w:rPr>
      </w:pPr>
      <w:r>
        <w:rPr>
          <w:rFonts w:ascii="Times New Roman" w:hAnsi="Times New Roman" w:cs="Times New Roman"/>
        </w:rPr>
        <w:t>附图</w:t>
      </w:r>
      <w:r>
        <w:rPr>
          <w:rFonts w:ascii="Times New Roman" w:hAnsi="Times New Roman" w:cs="Times New Roman"/>
        </w:rPr>
        <w:t>1-</w:t>
      </w:r>
      <w:r>
        <w:rPr>
          <w:rFonts w:ascii="Times New Roman" w:hAnsi="Times New Roman" w:cs="Times New Roman" w:hint="eastAsia"/>
        </w:rPr>
        <w:t>8</w:t>
      </w:r>
      <w:r>
        <w:rPr>
          <w:rFonts w:ascii="Times New Roman" w:hAnsi="Times New Roman" w:cs="Times New Roman"/>
        </w:rPr>
        <w:t xml:space="preserve"> PMIE-2020</w:t>
      </w:r>
      <w:r>
        <w:rPr>
          <w:rFonts w:ascii="Times New Roman" w:hAnsi="Times New Roman" w:cs="Times New Roman"/>
        </w:rPr>
        <w:t>和国外模型计算结果及与辐照数据比较</w:t>
      </w:r>
    </w:p>
    <w:p w:rsidR="0000699C" w:rsidRDefault="0000699C">
      <w:pPr>
        <w:widowControl w:val="0"/>
        <w:spacing w:line="276" w:lineRule="auto"/>
        <w:ind w:firstLineChars="200" w:firstLine="480"/>
        <w:jc w:val="center"/>
        <w:rPr>
          <w:rFonts w:ascii="Times New Roman" w:hAnsi="Times New Roman" w:cs="Times New Roman"/>
        </w:rPr>
      </w:pPr>
    </w:p>
    <w:p w:rsidR="0000699C" w:rsidRDefault="000801E7">
      <w:pPr>
        <w:rPr>
          <w:b/>
          <w:bCs/>
        </w:rPr>
      </w:pPr>
      <w:r>
        <w:rPr>
          <w:b/>
          <w:bCs/>
        </w:rPr>
        <w:t>5</w:t>
      </w:r>
      <w:r>
        <w:rPr>
          <w:rFonts w:hint="eastAsia"/>
          <w:b/>
          <w:bCs/>
        </w:rPr>
        <w:t>）、</w:t>
      </w:r>
      <w:r>
        <w:rPr>
          <w:b/>
          <w:bCs/>
        </w:rPr>
        <w:t>模型适用范围</w:t>
      </w:r>
    </w:p>
    <w:p w:rsidR="0000699C" w:rsidRDefault="000801E7">
      <w:pPr>
        <w:widowControl w:val="0"/>
        <w:spacing w:line="276" w:lineRule="auto"/>
        <w:ind w:firstLineChars="200" w:firstLine="480"/>
        <w:rPr>
          <w:rFonts w:ascii="Times New Roman" w:hAnsi="Times New Roman" w:cs="Times New Roman"/>
          <w:color w:val="000000"/>
          <w:kern w:val="24"/>
        </w:rPr>
      </w:pPr>
      <w:r>
        <w:rPr>
          <w:rFonts w:ascii="Times New Roman" w:hAnsi="Times New Roman" w:cs="Times New Roman"/>
          <w:color w:val="000000"/>
          <w:kern w:val="24"/>
          <w:lang w:bidi="ar"/>
        </w:rPr>
        <w:lastRenderedPageBreak/>
        <w:t>PMIE-2020</w:t>
      </w:r>
      <w:r>
        <w:rPr>
          <w:rFonts w:ascii="Times New Roman" w:hAnsi="Times New Roman" w:cs="Times New Roman"/>
          <w:color w:val="000000"/>
          <w:kern w:val="24"/>
          <w:lang w:bidi="ar"/>
        </w:rPr>
        <w:t>预测模型的使用范围如附表</w:t>
      </w:r>
      <w:r>
        <w:rPr>
          <w:rFonts w:ascii="Times New Roman" w:hAnsi="Times New Roman" w:cs="Times New Roman"/>
          <w:color w:val="000000"/>
          <w:kern w:val="24"/>
          <w:lang w:bidi="ar"/>
        </w:rPr>
        <w:t>1-2</w:t>
      </w:r>
      <w:r>
        <w:rPr>
          <w:rFonts w:ascii="Times New Roman" w:hAnsi="Times New Roman" w:cs="Times New Roman"/>
          <w:color w:val="000000"/>
          <w:kern w:val="24"/>
          <w:lang w:bidi="ar"/>
        </w:rPr>
        <w:t>。</w:t>
      </w:r>
    </w:p>
    <w:p w:rsidR="0000699C" w:rsidRDefault="000801E7">
      <w:pPr>
        <w:widowControl w:val="0"/>
        <w:autoSpaceDE w:val="0"/>
        <w:autoSpaceDN w:val="0"/>
        <w:adjustRightInd w:val="0"/>
        <w:jc w:val="center"/>
        <w:rPr>
          <w:rFonts w:ascii="Times New Roman" w:hAnsi="Times New Roman" w:cs="Times New Roman"/>
          <w:bCs/>
          <w:kern w:val="0"/>
        </w:rPr>
      </w:pPr>
      <w:r>
        <w:rPr>
          <w:rFonts w:ascii="Times New Roman" w:hAnsi="Times New Roman" w:cs="Times New Roman"/>
          <w:bCs/>
          <w:kern w:val="0"/>
          <w:lang w:bidi="ar"/>
        </w:rPr>
        <w:t>附表</w:t>
      </w:r>
      <w:r>
        <w:rPr>
          <w:rFonts w:ascii="Times New Roman" w:hAnsi="Times New Roman" w:cs="Times New Roman"/>
          <w:bCs/>
          <w:kern w:val="0"/>
          <w:lang w:bidi="ar"/>
        </w:rPr>
        <w:t>1-2 PMIE-2020</w:t>
      </w:r>
      <w:r>
        <w:rPr>
          <w:rFonts w:ascii="Times New Roman" w:hAnsi="Times New Roman" w:cs="Times New Roman"/>
          <w:bCs/>
          <w:kern w:val="0"/>
          <w:lang w:bidi="ar"/>
        </w:rPr>
        <w:t>预测模型的使用范围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517"/>
        <w:gridCol w:w="1601"/>
        <w:gridCol w:w="1693"/>
        <w:gridCol w:w="1702"/>
      </w:tblGrid>
      <w:tr w:rsidR="0000699C">
        <w:tc>
          <w:tcPr>
            <w:tcW w:w="880" w:type="dxa"/>
            <w:tcBorders>
              <w:top w:val="single" w:sz="4" w:space="0" w:color="auto"/>
              <w:left w:val="single" w:sz="4" w:space="0" w:color="auto"/>
              <w:bottom w:val="single" w:sz="4" w:space="0" w:color="auto"/>
              <w:right w:val="single" w:sz="4" w:space="0" w:color="auto"/>
            </w:tcBorders>
            <w:shd w:val="clear" w:color="auto" w:fill="auto"/>
          </w:tcPr>
          <w:p w:rsidR="0000699C" w:rsidRDefault="000801E7">
            <w:pPr>
              <w:widowControl w:val="0"/>
              <w:autoSpaceDE w:val="0"/>
              <w:autoSpaceDN w:val="0"/>
              <w:adjustRightInd w:val="0"/>
              <w:spacing w:line="240" w:lineRule="auto"/>
              <w:jc w:val="center"/>
              <w:rPr>
                <w:rFonts w:ascii="Times New Roman" w:hAnsi="Times New Roman" w:cs="Times New Roman"/>
                <w:b/>
                <w:kern w:val="0"/>
              </w:rPr>
            </w:pPr>
            <w:r>
              <w:rPr>
                <w:rFonts w:ascii="Times New Roman" w:hAnsi="Times New Roman" w:cs="Times New Roman"/>
              </w:rPr>
              <w:t>序号</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适用参量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符号</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参量量值范围</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单位</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1</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中子注量（</w:t>
            </w:r>
            <w:r>
              <w:rPr>
                <w:rFonts w:ascii="Times New Roman" w:hAnsi="Times New Roman" w:cs="Times New Roman"/>
              </w:rPr>
              <w:t>E</w:t>
            </w:r>
            <w:r>
              <w:rPr>
                <w:rFonts w:ascii="Times New Roman" w:hAnsi="Times New Roman" w:cs="Times New Roman"/>
              </w:rPr>
              <w:t>＞</w:t>
            </w:r>
            <w:r>
              <w:rPr>
                <w:rFonts w:ascii="Times New Roman" w:hAnsi="Times New Roman" w:cs="Times New Roman"/>
              </w:rPr>
              <w:t>1MeV</w:t>
            </w:r>
            <w:r>
              <w:rPr>
                <w:rFonts w:ascii="Times New Roman" w:hAnsi="Times New Roman" w:cs="Times New Roman"/>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f</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rPr>
              <w:t>10</w:t>
            </w:r>
            <w:r>
              <w:rPr>
                <w:rFonts w:ascii="Times New Roman" w:hAnsi="Times New Roman" w:cs="Times New Roman"/>
                <w:vertAlign w:val="superscript"/>
              </w:rPr>
              <w:t>19</w:t>
            </w:r>
            <w:r>
              <w:rPr>
                <w:rFonts w:ascii="Times New Roman" w:hAnsi="Times New Roman" w:cs="Times New Roman"/>
              </w:rPr>
              <w:t>-10</w:t>
            </w:r>
            <w:r>
              <w:rPr>
                <w:rFonts w:ascii="Times New Roman" w:hAnsi="Times New Roman" w:cs="Times New Roman"/>
              </w:rPr>
              <w:t>×</w:t>
            </w:r>
            <w:r>
              <w:rPr>
                <w:rFonts w:ascii="Times New Roman" w:hAnsi="Times New Roman" w:cs="Times New Roman"/>
              </w:rPr>
              <w:t>10</w:t>
            </w:r>
            <w:r>
              <w:rPr>
                <w:rFonts w:ascii="Times New Roman" w:hAnsi="Times New Roman" w:cs="Times New Roman"/>
                <w:vertAlign w:val="superscript"/>
              </w:rPr>
              <w:t>19</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n/cm2</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2</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中子注量率</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Φ</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5</w:t>
            </w:r>
            <w:r>
              <w:rPr>
                <w:rFonts w:ascii="Times New Roman" w:hAnsi="Times New Roman" w:cs="Times New Roman"/>
              </w:rPr>
              <w:t>×</w:t>
            </w:r>
            <w:r>
              <w:rPr>
                <w:rFonts w:ascii="Times New Roman" w:hAnsi="Times New Roman" w:cs="Times New Roman"/>
              </w:rPr>
              <w:t>10</w:t>
            </w:r>
            <w:r>
              <w:rPr>
                <w:rFonts w:ascii="Times New Roman" w:hAnsi="Times New Roman" w:cs="Times New Roman"/>
                <w:vertAlign w:val="superscript"/>
              </w:rPr>
              <w:t>10</w:t>
            </w:r>
            <w:r>
              <w:rPr>
                <w:rFonts w:ascii="Times New Roman" w:hAnsi="Times New Roman" w:cs="Times New Roman"/>
              </w:rPr>
              <w:t>-2</w:t>
            </w:r>
            <w:r>
              <w:rPr>
                <w:rFonts w:ascii="Times New Roman" w:hAnsi="Times New Roman" w:cs="Times New Roman"/>
              </w:rPr>
              <w:t>×</w:t>
            </w:r>
            <w:r>
              <w:rPr>
                <w:rFonts w:ascii="Times New Roman" w:hAnsi="Times New Roman" w:cs="Times New Roman"/>
              </w:rPr>
              <w:t>10</w:t>
            </w:r>
            <w:r>
              <w:rPr>
                <w:rFonts w:ascii="Times New Roman" w:hAnsi="Times New Roman" w:cs="Times New Roman"/>
                <w:vertAlign w:val="superscript"/>
              </w:rPr>
              <w:t>11</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n/cm2</w:t>
            </w:r>
            <w:r>
              <w:rPr>
                <w:rFonts w:ascii="Times New Roman" w:hAnsi="Times New Roman" w:cs="Times New Roman"/>
              </w:rPr>
              <w:t>·</w:t>
            </w:r>
            <w:r>
              <w:rPr>
                <w:rFonts w:ascii="Times New Roman" w:hAnsi="Times New Roman" w:cs="Times New Roman"/>
              </w:rPr>
              <w:t>s</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3</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辐照温度</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275-292</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4</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Mn</w:t>
            </w:r>
            <w:r>
              <w:rPr>
                <w:rFonts w:ascii="Times New Roman" w:hAnsi="Times New Roman" w:cs="Times New Roman"/>
              </w:rPr>
              <w:t>含量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Mn</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0.58-1.83</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Wt.%</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5</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Ni</w:t>
            </w:r>
            <w:r>
              <w:rPr>
                <w:rFonts w:ascii="Times New Roman" w:hAnsi="Times New Roman" w:cs="Times New Roman"/>
              </w:rPr>
              <w:t>含量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Ni</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0.065-0.973</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Wt.%</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6</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Si</w:t>
            </w:r>
            <w:r>
              <w:rPr>
                <w:rFonts w:ascii="Times New Roman" w:hAnsi="Times New Roman" w:cs="Times New Roman"/>
              </w:rPr>
              <w:t>含量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Si</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0.133-0.535</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Wt.%</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7</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P</w:t>
            </w:r>
            <w:r>
              <w:rPr>
                <w:rFonts w:ascii="Times New Roman" w:hAnsi="Times New Roman" w:cs="Times New Roman"/>
              </w:rPr>
              <w:t>含量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P</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0.003-0.02</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Wt.%</w:t>
            </w:r>
          </w:p>
        </w:tc>
      </w:tr>
      <w:tr w:rsidR="0000699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8</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Cu</w:t>
            </w:r>
            <w:r>
              <w:rPr>
                <w:rFonts w:ascii="Times New Roman" w:hAnsi="Times New Roman" w:cs="Times New Roman"/>
              </w:rPr>
              <w:t>含量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Cu</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w:t>
            </w:r>
            <w:r>
              <w:rPr>
                <w:rFonts w:ascii="Times New Roman" w:hAnsi="Times New Roman" w:cs="Times New Roman"/>
              </w:rPr>
              <w:t>0.072</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00699C" w:rsidRDefault="000801E7">
            <w:pPr>
              <w:widowControl w:val="0"/>
              <w:spacing w:line="240" w:lineRule="auto"/>
              <w:jc w:val="both"/>
              <w:rPr>
                <w:rFonts w:ascii="Times New Roman" w:hAnsi="Times New Roman" w:cs="Times New Roman"/>
              </w:rPr>
            </w:pPr>
            <w:r>
              <w:rPr>
                <w:rFonts w:ascii="Times New Roman" w:hAnsi="Times New Roman" w:cs="Times New Roman"/>
              </w:rPr>
              <w:t>Wt.%</w:t>
            </w:r>
          </w:p>
        </w:tc>
      </w:tr>
    </w:tbl>
    <w:p w:rsidR="0000699C" w:rsidRDefault="0000699C"/>
    <w:p w:rsidR="0000699C" w:rsidRDefault="000801E7">
      <w:pPr>
        <w:outlineLvl w:val="0"/>
        <w:rPr>
          <w:b/>
          <w:sz w:val="28"/>
          <w:szCs w:val="28"/>
        </w:rPr>
      </w:pPr>
      <w:r>
        <w:rPr>
          <w:rFonts w:hint="eastAsia"/>
          <w:b/>
          <w:sz w:val="28"/>
          <w:szCs w:val="28"/>
        </w:rPr>
        <w:t>四、标准中涉及专利的情况</w:t>
      </w:r>
    </w:p>
    <w:p w:rsidR="0000699C" w:rsidRDefault="000801E7">
      <w:pPr>
        <w:ind w:firstLineChars="200" w:firstLine="480"/>
      </w:pPr>
      <w:r>
        <w:rPr>
          <w:rFonts w:hint="eastAsia"/>
        </w:rPr>
        <w:t>本标准不涉及专利。</w:t>
      </w:r>
    </w:p>
    <w:p w:rsidR="0000699C" w:rsidRDefault="000801E7">
      <w:pPr>
        <w:outlineLvl w:val="0"/>
        <w:rPr>
          <w:b/>
          <w:sz w:val="28"/>
          <w:szCs w:val="28"/>
        </w:rPr>
      </w:pPr>
      <w:r>
        <w:rPr>
          <w:rFonts w:hint="eastAsia"/>
          <w:b/>
          <w:sz w:val="28"/>
          <w:szCs w:val="28"/>
        </w:rPr>
        <w:t>五、预期达到的社会效益、对产业发展的作用等情况</w:t>
      </w:r>
    </w:p>
    <w:p w:rsidR="0000699C" w:rsidRDefault="000801E7">
      <w:pPr>
        <w:ind w:firstLineChars="200" w:firstLine="480"/>
      </w:pPr>
      <w:r>
        <w:rPr>
          <w:rFonts w:hint="eastAsia"/>
        </w:rPr>
        <w:t>本标准是在充分消化吸收几十年来国内外</w:t>
      </w:r>
      <w:r>
        <w:rPr>
          <w:rFonts w:hint="eastAsia"/>
        </w:rPr>
        <w:t>RPV</w:t>
      </w:r>
      <w:r>
        <w:rPr>
          <w:rFonts w:hint="eastAsia"/>
        </w:rPr>
        <w:t>辐照脆化研究成果以及预测模型开发实践经验，并充分结合核电厂实际需求基础上提出的，将填补该领域的标准空白，并有望在本标准的基础上向国家层面推荐相应的辐照脆化模型</w:t>
      </w:r>
      <w:r>
        <w:rPr>
          <w:rFonts w:hint="eastAsia"/>
        </w:rPr>
        <w:t>，</w:t>
      </w:r>
      <w:r>
        <w:rPr>
          <w:rFonts w:hint="eastAsia"/>
        </w:rPr>
        <w:t>有力促进</w:t>
      </w:r>
      <w:r>
        <w:rPr>
          <w:rFonts w:hint="eastAsia"/>
        </w:rPr>
        <w:t>RPV</w:t>
      </w:r>
      <w:r>
        <w:rPr>
          <w:rFonts w:hint="eastAsia"/>
        </w:rPr>
        <w:t>结构完整性评估的发展。</w:t>
      </w:r>
      <w:bookmarkStart w:id="4" w:name="_GoBack"/>
      <w:bookmarkEnd w:id="4"/>
    </w:p>
    <w:p w:rsidR="0000699C" w:rsidRDefault="000801E7">
      <w:pPr>
        <w:outlineLvl w:val="0"/>
        <w:rPr>
          <w:b/>
          <w:sz w:val="28"/>
          <w:szCs w:val="28"/>
        </w:rPr>
      </w:pPr>
      <w:r>
        <w:rPr>
          <w:rFonts w:hint="eastAsia"/>
          <w:b/>
          <w:sz w:val="28"/>
          <w:szCs w:val="28"/>
        </w:rPr>
        <w:t>六、与国际、国外对比情况</w:t>
      </w:r>
    </w:p>
    <w:p w:rsidR="0000699C" w:rsidRDefault="000801E7">
      <w:pPr>
        <w:ind w:firstLineChars="200" w:firstLine="480"/>
      </w:pPr>
      <w:r>
        <w:rPr>
          <w:rFonts w:hint="eastAsia"/>
        </w:rPr>
        <w:t>本标准开发过程中借鉴了如下标准：</w:t>
      </w:r>
    </w:p>
    <w:p w:rsidR="0000699C" w:rsidRDefault="000801E7">
      <w:pPr>
        <w:ind w:firstLineChars="200" w:firstLine="480"/>
      </w:pPr>
      <w:r>
        <w:rPr>
          <w:rFonts w:hint="eastAsia"/>
        </w:rPr>
        <w:t>1</w:t>
      </w:r>
      <w:r>
        <w:rPr>
          <w:rFonts w:hint="eastAsia"/>
        </w:rPr>
        <w:t>）</w:t>
      </w:r>
      <w:r>
        <w:rPr>
          <w:rFonts w:hint="eastAsia"/>
        </w:rPr>
        <w:t xml:space="preserve">NB/T 20154-2012 </w:t>
      </w:r>
      <w:r>
        <w:rPr>
          <w:rFonts w:hint="eastAsia"/>
        </w:rPr>
        <w:t>压水堆核电厂反应堆压力容器老化管理指南</w:t>
      </w:r>
    </w:p>
    <w:p w:rsidR="0000699C" w:rsidRDefault="000801E7">
      <w:pPr>
        <w:ind w:firstLineChars="200" w:firstLine="480"/>
      </w:pPr>
      <w:r>
        <w:rPr>
          <w:rFonts w:hint="eastAsia"/>
        </w:rPr>
        <w:t>2</w:t>
      </w:r>
      <w:r>
        <w:rPr>
          <w:rFonts w:hint="eastAsia"/>
        </w:rPr>
        <w:t>）</w:t>
      </w:r>
      <w:r>
        <w:rPr>
          <w:rFonts w:hint="eastAsia"/>
        </w:rPr>
        <w:t xml:space="preserve">NB/T 20220-2013 </w:t>
      </w:r>
      <w:r>
        <w:rPr>
          <w:rFonts w:hint="eastAsia"/>
        </w:rPr>
        <w:t>轻水冷却反应堆压力容器辐照监督</w:t>
      </w:r>
    </w:p>
    <w:p w:rsidR="005E3CC9" w:rsidRPr="005E3CC9" w:rsidRDefault="005E3CC9" w:rsidP="005E3CC9">
      <w:pPr>
        <w:pStyle w:val="a5"/>
        <w:rPr>
          <w:rFonts w:ascii="Times New Roman"/>
          <w:sz w:val="24"/>
          <w:szCs w:val="24"/>
        </w:rPr>
      </w:pPr>
      <w:r>
        <w:t>3）</w:t>
      </w:r>
      <w:r>
        <w:rPr>
          <w:rFonts w:ascii="Times New Roman" w:hint="default"/>
          <w:sz w:val="24"/>
          <w:szCs w:val="24"/>
        </w:rPr>
        <w:t xml:space="preserve">EJ 322-1994 </w:t>
      </w:r>
      <w:r>
        <w:rPr>
          <w:rFonts w:ascii="Times New Roman" w:hint="default"/>
          <w:sz w:val="24"/>
          <w:szCs w:val="24"/>
        </w:rPr>
        <w:t>《压水堆核电厂反应堆压力容器设计准则》</w:t>
      </w:r>
    </w:p>
    <w:p w:rsidR="0000699C" w:rsidRDefault="000801E7">
      <w:pPr>
        <w:outlineLvl w:val="0"/>
        <w:rPr>
          <w:b/>
          <w:sz w:val="28"/>
          <w:szCs w:val="28"/>
        </w:rPr>
      </w:pPr>
      <w:r>
        <w:rPr>
          <w:rFonts w:hint="eastAsia"/>
          <w:b/>
          <w:sz w:val="28"/>
          <w:szCs w:val="28"/>
        </w:rPr>
        <w:t>七</w:t>
      </w:r>
      <w:r>
        <w:rPr>
          <w:rFonts w:hint="eastAsia"/>
          <w:b/>
          <w:sz w:val="28"/>
          <w:szCs w:val="28"/>
        </w:rPr>
        <w:t>、在标准体系中的</w:t>
      </w:r>
      <w:r>
        <w:rPr>
          <w:rFonts w:hint="eastAsia"/>
          <w:b/>
          <w:sz w:val="28"/>
          <w:szCs w:val="28"/>
        </w:rPr>
        <w:t>位置，与现行相关法律、法规、规章及标准，特别是强制性标准的协调性</w:t>
      </w:r>
    </w:p>
    <w:p w:rsidR="0000699C" w:rsidRDefault="000801E7">
      <w:pPr>
        <w:ind w:firstLineChars="200" w:firstLine="480"/>
        <w:rPr>
          <w:i/>
        </w:rPr>
      </w:pPr>
      <w:r>
        <w:rPr>
          <w:rFonts w:hint="eastAsia"/>
        </w:rPr>
        <w:t>本标准与现行相关法律、法规、规章及相关标准协调一致。</w:t>
      </w:r>
    </w:p>
    <w:p w:rsidR="0000699C" w:rsidRDefault="000801E7">
      <w:pPr>
        <w:outlineLvl w:val="0"/>
        <w:rPr>
          <w:b/>
          <w:sz w:val="28"/>
          <w:szCs w:val="28"/>
        </w:rPr>
      </w:pPr>
      <w:r>
        <w:rPr>
          <w:rFonts w:hint="eastAsia"/>
          <w:b/>
          <w:sz w:val="28"/>
          <w:szCs w:val="28"/>
        </w:rPr>
        <w:t>八、重大分歧意见的处理经过和依据</w:t>
      </w:r>
    </w:p>
    <w:p w:rsidR="0000699C" w:rsidRDefault="000801E7">
      <w:pPr>
        <w:ind w:firstLineChars="200" w:firstLine="480"/>
      </w:pPr>
      <w:r>
        <w:rPr>
          <w:rFonts w:hint="eastAsia"/>
        </w:rPr>
        <w:t>无。</w:t>
      </w:r>
    </w:p>
    <w:p w:rsidR="0000699C" w:rsidRDefault="000801E7">
      <w:pPr>
        <w:outlineLvl w:val="0"/>
        <w:rPr>
          <w:b/>
          <w:sz w:val="28"/>
          <w:szCs w:val="28"/>
        </w:rPr>
      </w:pPr>
      <w:r>
        <w:rPr>
          <w:rFonts w:hint="eastAsia"/>
          <w:b/>
          <w:sz w:val="28"/>
          <w:szCs w:val="28"/>
        </w:rPr>
        <w:t>九、标准性质的建议说明</w:t>
      </w:r>
    </w:p>
    <w:p w:rsidR="0000699C" w:rsidRDefault="000801E7">
      <w:pPr>
        <w:ind w:firstLineChars="200" w:firstLine="480"/>
        <w:rPr>
          <w:i/>
        </w:rPr>
      </w:pPr>
      <w:r>
        <w:rPr>
          <w:rFonts w:hint="eastAsia"/>
        </w:rPr>
        <w:lastRenderedPageBreak/>
        <w:t>建议本标准的性质为团体标准。</w:t>
      </w:r>
    </w:p>
    <w:p w:rsidR="0000699C" w:rsidRDefault="000801E7">
      <w:pPr>
        <w:outlineLvl w:val="0"/>
        <w:rPr>
          <w:b/>
          <w:sz w:val="28"/>
          <w:szCs w:val="28"/>
        </w:rPr>
      </w:pPr>
      <w:r>
        <w:rPr>
          <w:rFonts w:hint="eastAsia"/>
          <w:b/>
          <w:sz w:val="28"/>
          <w:szCs w:val="28"/>
        </w:rPr>
        <w:t>十、贯彻标准的要求和措施建议</w:t>
      </w:r>
    </w:p>
    <w:p w:rsidR="0000699C" w:rsidRDefault="000801E7">
      <w:pPr>
        <w:ind w:firstLineChars="200" w:firstLine="480"/>
      </w:pPr>
      <w:r>
        <w:rPr>
          <w:rFonts w:hint="eastAsia"/>
        </w:rPr>
        <w:t>标准发布后，</w:t>
      </w:r>
      <w:r>
        <w:rPr>
          <w:rFonts w:hint="eastAsia"/>
        </w:rPr>
        <w:t>苏州热工研究院有限公司</w:t>
      </w:r>
      <w:r>
        <w:rPr>
          <w:rFonts w:hint="eastAsia"/>
        </w:rPr>
        <w:t>将配合中国核能行业协会组织行业召开标准宣贯会，开展培训活动，促进该标准更好的贯彻实施。</w:t>
      </w:r>
    </w:p>
    <w:p w:rsidR="0000699C" w:rsidRDefault="0000699C">
      <w:pPr>
        <w:rPr>
          <w:i/>
        </w:rPr>
      </w:pPr>
    </w:p>
    <w:p w:rsidR="0000699C" w:rsidRDefault="000801E7">
      <w:pPr>
        <w:outlineLvl w:val="0"/>
        <w:rPr>
          <w:b/>
          <w:sz w:val="28"/>
          <w:szCs w:val="28"/>
        </w:rPr>
      </w:pPr>
      <w:r>
        <w:rPr>
          <w:rFonts w:hint="eastAsia"/>
          <w:b/>
          <w:sz w:val="28"/>
          <w:szCs w:val="28"/>
        </w:rPr>
        <w:t>十一、废止现行相关标准的建议</w:t>
      </w:r>
    </w:p>
    <w:p w:rsidR="0000699C" w:rsidRDefault="000801E7">
      <w:pPr>
        <w:ind w:firstLineChars="200" w:firstLine="480"/>
      </w:pPr>
      <w:r>
        <w:rPr>
          <w:rFonts w:hint="eastAsia"/>
        </w:rPr>
        <w:t>无。</w:t>
      </w:r>
    </w:p>
    <w:p w:rsidR="0000699C" w:rsidRDefault="000801E7">
      <w:pPr>
        <w:outlineLvl w:val="0"/>
        <w:rPr>
          <w:b/>
          <w:sz w:val="28"/>
          <w:szCs w:val="28"/>
        </w:rPr>
      </w:pPr>
      <w:r>
        <w:rPr>
          <w:rFonts w:hint="eastAsia"/>
          <w:b/>
          <w:sz w:val="28"/>
          <w:szCs w:val="28"/>
        </w:rPr>
        <w:t>十二、其他应予说明的事项</w:t>
      </w:r>
    </w:p>
    <w:p w:rsidR="0000699C" w:rsidRDefault="000801E7">
      <w:pPr>
        <w:ind w:firstLineChars="200" w:firstLine="480"/>
      </w:pPr>
      <w:r>
        <w:rPr>
          <w:rFonts w:hint="eastAsia"/>
        </w:rPr>
        <w:t>无。</w:t>
      </w:r>
    </w:p>
    <w:sectPr w:rsidR="000069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1E7" w:rsidRDefault="000801E7">
      <w:pPr>
        <w:spacing w:line="240" w:lineRule="auto"/>
      </w:pPr>
      <w:r>
        <w:separator/>
      </w:r>
    </w:p>
  </w:endnote>
  <w:endnote w:type="continuationSeparator" w:id="0">
    <w:p w:rsidR="000801E7" w:rsidRDefault="000801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1E7" w:rsidRDefault="000801E7">
      <w:r>
        <w:separator/>
      </w:r>
    </w:p>
  </w:footnote>
  <w:footnote w:type="continuationSeparator" w:id="0">
    <w:p w:rsidR="000801E7" w:rsidRDefault="000801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0699C"/>
    <w:rsid w:val="0004736B"/>
    <w:rsid w:val="000801E7"/>
    <w:rsid w:val="000C204E"/>
    <w:rsid w:val="00132C00"/>
    <w:rsid w:val="00161CD2"/>
    <w:rsid w:val="0024244C"/>
    <w:rsid w:val="00285F39"/>
    <w:rsid w:val="002E1F35"/>
    <w:rsid w:val="004656F6"/>
    <w:rsid w:val="00520FE0"/>
    <w:rsid w:val="005E3CC9"/>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4526E09"/>
    <w:rsid w:val="04B03CAF"/>
    <w:rsid w:val="04C12541"/>
    <w:rsid w:val="05EF46F9"/>
    <w:rsid w:val="09DC1E30"/>
    <w:rsid w:val="119B4023"/>
    <w:rsid w:val="14C33DC7"/>
    <w:rsid w:val="152D1EAC"/>
    <w:rsid w:val="156B5ADB"/>
    <w:rsid w:val="16140C24"/>
    <w:rsid w:val="19183CEC"/>
    <w:rsid w:val="1A2E6024"/>
    <w:rsid w:val="1DD95D4E"/>
    <w:rsid w:val="22B356C4"/>
    <w:rsid w:val="23A12521"/>
    <w:rsid w:val="28023723"/>
    <w:rsid w:val="2B241007"/>
    <w:rsid w:val="2D91772D"/>
    <w:rsid w:val="2ED30B52"/>
    <w:rsid w:val="2F1849E3"/>
    <w:rsid w:val="300D23F3"/>
    <w:rsid w:val="30405351"/>
    <w:rsid w:val="37E16E15"/>
    <w:rsid w:val="3837216B"/>
    <w:rsid w:val="3A015025"/>
    <w:rsid w:val="3E1B7A2D"/>
    <w:rsid w:val="41466651"/>
    <w:rsid w:val="43AC5C88"/>
    <w:rsid w:val="44103E4A"/>
    <w:rsid w:val="49B55AB8"/>
    <w:rsid w:val="4A2F49BF"/>
    <w:rsid w:val="535F5E6F"/>
    <w:rsid w:val="55EE675B"/>
    <w:rsid w:val="58F852A6"/>
    <w:rsid w:val="594C67FF"/>
    <w:rsid w:val="64536BAC"/>
    <w:rsid w:val="66E00B89"/>
    <w:rsid w:val="6E3457CA"/>
    <w:rsid w:val="6F80098F"/>
    <w:rsid w:val="75004F6B"/>
    <w:rsid w:val="76AE4C3F"/>
    <w:rsid w:val="78423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2918B"/>
  <w15:docId w15:val="{32908FA6-C179-4BB6-89DD-7314F68D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pPr>
    <w:rPr>
      <w:rFonts w:ascii="宋体" w:hAnsi="宋体" w:cstheme="minorBidi"/>
      <w:kern w:val="2"/>
      <w:sz w:val="24"/>
      <w:szCs w:val="24"/>
    </w:rPr>
  </w:style>
  <w:style w:type="paragraph" w:styleId="1">
    <w:name w:val="heading 1"/>
    <w:basedOn w:val="a"/>
    <w:next w:val="a"/>
    <w:qFormat/>
    <w:pPr>
      <w:keepNext/>
      <w:keepLines/>
      <w:widowControl w:val="0"/>
      <w:spacing w:line="576" w:lineRule="auto"/>
      <w:jc w:val="both"/>
      <w:outlineLvl w:val="0"/>
    </w:pPr>
    <w:rPr>
      <w:rFonts w:ascii="Times New Roman" w:hAnsi="Times New Roman" w:cs="Times New Roman"/>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 w:type="character" w:customStyle="1" w:styleId="patentcontentblock1">
    <w:name w:val="patentcontentblock1"/>
    <w:basedOn w:val="a0"/>
    <w:qFormat/>
    <w:rPr>
      <w:color w:val="000000"/>
      <w:sz w:val="20"/>
      <w:szCs w:val="20"/>
    </w:rPr>
  </w:style>
  <w:style w:type="paragraph" w:customStyle="1" w:styleId="a5">
    <w:name w:val="段"/>
    <w:basedOn w:val="a"/>
    <w:link w:val="Char"/>
    <w:qFormat/>
    <w:pPr>
      <w:tabs>
        <w:tab w:val="center" w:pos="4201"/>
        <w:tab w:val="right" w:leader="dot" w:pos="9298"/>
      </w:tabs>
      <w:autoSpaceDE w:val="0"/>
      <w:autoSpaceDN w:val="0"/>
      <w:ind w:firstLineChars="200" w:firstLine="420"/>
      <w:jc w:val="both"/>
    </w:pPr>
    <w:rPr>
      <w:rFonts w:hAnsi="Times New Roman" w:cs="Times New Roman" w:hint="eastAsia"/>
      <w:kern w:val="0"/>
      <w:sz w:val="21"/>
      <w:szCs w:val="20"/>
    </w:rPr>
  </w:style>
  <w:style w:type="character" w:customStyle="1" w:styleId="Char">
    <w:name w:val="段 Char"/>
    <w:basedOn w:val="a0"/>
    <w:link w:val="a5"/>
    <w:qFormat/>
    <w:rsid w:val="005E3CC9"/>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emf"/><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856</Words>
  <Characters>4882</Characters>
  <Application>Microsoft Office Word</Application>
  <DocSecurity>0</DocSecurity>
  <Lines>40</Lines>
  <Paragraphs>11</Paragraphs>
  <ScaleCrop>false</ScaleCrop>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Xu Chao Liang 徐超亮</cp:lastModifiedBy>
  <cp:revision>24</cp:revision>
  <dcterms:created xsi:type="dcterms:W3CDTF">2019-12-04T02:22:00Z</dcterms:created>
  <dcterms:modified xsi:type="dcterms:W3CDTF">2022-10-24T03:54:00Z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